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6BA1" w14:textId="77777777" w:rsidR="00B63978" w:rsidRDefault="00B63978" w:rsidP="006A513C">
      <w:pPr>
        <w:pStyle w:val="Heading1"/>
        <w:spacing w:before="80"/>
        <w:ind w:left="1689" w:right="1689"/>
        <w:jc w:val="center"/>
      </w:pPr>
    </w:p>
    <w:p w14:paraId="3CCFECA3" w14:textId="77777777" w:rsidR="00B63978" w:rsidRDefault="00B63978" w:rsidP="006A513C">
      <w:pPr>
        <w:pStyle w:val="Heading1"/>
        <w:spacing w:before="80"/>
        <w:ind w:left="1689" w:right="1689"/>
        <w:jc w:val="center"/>
      </w:pPr>
    </w:p>
    <w:p w14:paraId="5090A84B" w14:textId="1F66EC5C" w:rsidR="00697150" w:rsidRPr="003547F9" w:rsidRDefault="00B84245" w:rsidP="006A513C">
      <w:pPr>
        <w:pStyle w:val="Heading1"/>
        <w:spacing w:before="80"/>
        <w:ind w:left="1689" w:right="1689"/>
        <w:jc w:val="center"/>
      </w:pPr>
      <w:r w:rsidRPr="003547F9">
        <w:t>EXHIBIT</w:t>
      </w:r>
      <w:r w:rsidR="00572FA5">
        <w:t xml:space="preserve"> L</w:t>
      </w:r>
      <w:r w:rsidR="006A513C">
        <w:t>, CONTRACTED PRIVATE BEDS (CPB)</w:t>
      </w:r>
      <w:r w:rsidR="00B63978">
        <w:t xml:space="preserve"> </w:t>
      </w:r>
      <w:r w:rsidRPr="003547F9">
        <w:t>STATEMENT OF WORK</w:t>
      </w:r>
    </w:p>
    <w:p w14:paraId="69CF67AC" w14:textId="674109DA" w:rsidR="00B84245" w:rsidRPr="003547F9" w:rsidRDefault="00B84245">
      <w:pPr>
        <w:ind w:left="1689" w:right="1689"/>
        <w:jc w:val="center"/>
        <w:rPr>
          <w:b/>
          <w:sz w:val="24"/>
          <w:szCs w:val="24"/>
        </w:rPr>
      </w:pPr>
    </w:p>
    <w:p w14:paraId="5090A84C" w14:textId="77777777" w:rsidR="00697150" w:rsidRPr="009E1B65" w:rsidRDefault="00697150">
      <w:pPr>
        <w:pStyle w:val="BodyText"/>
        <w:spacing w:before="2"/>
        <w:rPr>
          <w:b/>
        </w:rPr>
      </w:pPr>
    </w:p>
    <w:p w14:paraId="64E97808" w14:textId="70E47BCF" w:rsidR="00B84245" w:rsidRPr="001B072C" w:rsidRDefault="00B84245" w:rsidP="001B072C">
      <w:pPr>
        <w:pStyle w:val="BodyText"/>
        <w:widowControl/>
        <w:numPr>
          <w:ilvl w:val="0"/>
          <w:numId w:val="12"/>
        </w:numPr>
        <w:autoSpaceDE/>
        <w:autoSpaceDN/>
        <w:spacing w:before="160" w:after="160" w:line="276" w:lineRule="auto"/>
        <w:ind w:left="0"/>
        <w:jc w:val="both"/>
        <w:rPr>
          <w:b/>
          <w:bCs/>
        </w:rPr>
      </w:pPr>
      <w:r w:rsidRPr="001B072C">
        <w:rPr>
          <w:b/>
          <w:bCs/>
        </w:rPr>
        <w:t>PROGRAM BACKGROUND</w:t>
      </w:r>
    </w:p>
    <w:p w14:paraId="6BAEABDC" w14:textId="08E4E4B9" w:rsidR="00B84245" w:rsidRPr="001B072C" w:rsidRDefault="00B84245" w:rsidP="00157831">
      <w:pPr>
        <w:pStyle w:val="BodyText"/>
        <w:jc w:val="both"/>
      </w:pPr>
      <w:r w:rsidRPr="001B072C">
        <w:t>The 88th Texas Legislature passed Senate Bill (S.B.) 1677 in 2023 which established the Rural Mental Health Initiative Grant Program (RIGP). This program is governed by Texas Government Code, Section 531.09936 and is aimed at establishing or expanding regional behavioral health centers or jail diversion centers in rural areas across Texas. Any project under the RIGP must serve at least one county in Texas with a population of less than 250,000 people.</w:t>
      </w:r>
    </w:p>
    <w:p w14:paraId="5027354B" w14:textId="77777777" w:rsidR="00B84245" w:rsidRPr="001B072C" w:rsidRDefault="00B84245" w:rsidP="00157831">
      <w:pPr>
        <w:pStyle w:val="BodyText"/>
        <w:jc w:val="both"/>
      </w:pPr>
    </w:p>
    <w:p w14:paraId="270418C6" w14:textId="041810FE" w:rsidR="00B84245" w:rsidRPr="001B072C" w:rsidRDefault="00637A24" w:rsidP="00157831">
      <w:pPr>
        <w:pStyle w:val="BodyText"/>
        <w:jc w:val="both"/>
      </w:pPr>
      <w:r w:rsidRPr="001B072C">
        <w:t>Inpatient mental health h</w:t>
      </w:r>
      <w:r w:rsidR="00B84245" w:rsidRPr="001B072C">
        <w:t>ospital services staffed with medical and nursing professionals who provide 24-hour professional monitoring, supervision and assistance in an environment designed to provide safety and security during acute behavioral health cris</w:t>
      </w:r>
      <w:r w:rsidR="00EF6ED0" w:rsidRPr="001B072C">
        <w:t>e</w:t>
      </w:r>
      <w:r w:rsidR="00B84245" w:rsidRPr="001B072C">
        <w:t>s. Staff provides intensive interventions designed to relieve acute symptomatology and restore the patient's ability to function in a less restrictive setting.</w:t>
      </w:r>
    </w:p>
    <w:p w14:paraId="30D5586C" w14:textId="7C63B0C8" w:rsidR="00B84245" w:rsidRPr="001B072C" w:rsidRDefault="00B84245" w:rsidP="001B072C">
      <w:pPr>
        <w:pStyle w:val="BodyText"/>
        <w:widowControl/>
        <w:numPr>
          <w:ilvl w:val="0"/>
          <w:numId w:val="12"/>
        </w:numPr>
        <w:autoSpaceDE/>
        <w:autoSpaceDN/>
        <w:spacing w:before="160" w:after="160" w:line="276" w:lineRule="auto"/>
        <w:ind w:left="0"/>
        <w:jc w:val="both"/>
        <w:rPr>
          <w:b/>
          <w:bCs/>
        </w:rPr>
      </w:pPr>
      <w:r w:rsidRPr="001B072C">
        <w:rPr>
          <w:b/>
          <w:bCs/>
        </w:rPr>
        <w:t>GRANTEE’S RESPONSIBILITIES</w:t>
      </w:r>
    </w:p>
    <w:p w14:paraId="03ADEFEC" w14:textId="77777777" w:rsidR="00B84245" w:rsidRPr="001B072C" w:rsidRDefault="00B84245" w:rsidP="00157831">
      <w:pPr>
        <w:pStyle w:val="BodyText"/>
        <w:widowControl/>
        <w:numPr>
          <w:ilvl w:val="0"/>
          <w:numId w:val="7"/>
        </w:numPr>
        <w:autoSpaceDE/>
        <w:autoSpaceDN/>
        <w:spacing w:before="160" w:after="160" w:line="276" w:lineRule="auto"/>
        <w:ind w:left="360"/>
        <w:jc w:val="both"/>
      </w:pPr>
      <w:r w:rsidRPr="001B072C">
        <w:t>General:</w:t>
      </w:r>
    </w:p>
    <w:p w14:paraId="60187213" w14:textId="77777777" w:rsidR="005426E2" w:rsidRDefault="00637A24" w:rsidP="005426E2">
      <w:pPr>
        <w:pStyle w:val="BodyText"/>
        <w:widowControl/>
        <w:numPr>
          <w:ilvl w:val="1"/>
          <w:numId w:val="7"/>
        </w:numPr>
        <w:autoSpaceDE/>
        <w:autoSpaceDN/>
        <w:ind w:left="720"/>
        <w:jc w:val="both"/>
      </w:pPr>
      <w:r w:rsidRPr="001B072C">
        <w:t>Grantee shall expend funds allocated under this Statement of Work on the provision of inpatient mental health services located at a licensed psychiatric hospital (the “Hospital”).</w:t>
      </w:r>
    </w:p>
    <w:p w14:paraId="3F62BCC9" w14:textId="274012A8" w:rsidR="00637A24" w:rsidRPr="001B072C" w:rsidRDefault="00637A24" w:rsidP="005426E2">
      <w:pPr>
        <w:pStyle w:val="BodyText"/>
        <w:widowControl/>
        <w:autoSpaceDE/>
        <w:autoSpaceDN/>
        <w:ind w:left="720"/>
        <w:jc w:val="both"/>
      </w:pPr>
      <w:r w:rsidRPr="001B072C">
        <w:t xml:space="preserve"> </w:t>
      </w:r>
    </w:p>
    <w:p w14:paraId="33C9E4DC" w14:textId="65B2F513" w:rsidR="00637A24" w:rsidRDefault="00637A24" w:rsidP="005426E2">
      <w:pPr>
        <w:pStyle w:val="BodyText"/>
        <w:widowControl/>
        <w:numPr>
          <w:ilvl w:val="1"/>
          <w:numId w:val="7"/>
        </w:numPr>
        <w:autoSpaceDE/>
        <w:autoSpaceDN/>
        <w:ind w:left="720"/>
        <w:jc w:val="both"/>
      </w:pPr>
      <w:r w:rsidRPr="001B072C">
        <w:t>Grantee shall require the Hospital to provide Grantee, with evidence that it maintains throughout the term of this Statement of Work</w:t>
      </w:r>
      <w:r w:rsidR="008D43FD">
        <w:t>:</w:t>
      </w:r>
      <w:r w:rsidRPr="001B072C">
        <w:t xml:space="preserve"> a license as a private psychiatric hospital in accordance with Chapter 577 of the Texas Health and Safety Code and with 26 TAC Chapter 510 et seq. (Private Psychiatric Hospitals and Crisis Stabilization Units), or a General or Special Hospital in accordance with Chapter 241 of the Texas Health and Safety Code and with 25 TAC Chapter 133 et seq. (Hospital Licensing).</w:t>
      </w:r>
    </w:p>
    <w:p w14:paraId="2AF7F134" w14:textId="77777777" w:rsidR="005426E2" w:rsidRPr="001B072C" w:rsidRDefault="005426E2" w:rsidP="005426E2">
      <w:pPr>
        <w:pStyle w:val="BodyText"/>
        <w:widowControl/>
        <w:autoSpaceDE/>
        <w:autoSpaceDN/>
        <w:ind w:left="720"/>
        <w:jc w:val="both"/>
      </w:pPr>
    </w:p>
    <w:p w14:paraId="28573217" w14:textId="49D8E911" w:rsidR="00452CDB" w:rsidRPr="001B072C" w:rsidRDefault="00637A24" w:rsidP="005426E2">
      <w:pPr>
        <w:pStyle w:val="BodyText"/>
        <w:widowControl/>
        <w:numPr>
          <w:ilvl w:val="1"/>
          <w:numId w:val="7"/>
        </w:numPr>
        <w:autoSpaceDE/>
        <w:autoSpaceDN/>
        <w:ind w:left="720"/>
        <w:jc w:val="both"/>
      </w:pPr>
      <w:r w:rsidRPr="001B072C">
        <w:t xml:space="preserve">Grantee shall require the Hospital provide Grantee with evidence that it maintains its accreditation with The Joint Commission (TJC), or other accrediting body granted deeming authority by the Centers for Medicare and Medicaid Services (CMS), as a hospital throughout the term of this Statement of Work. </w:t>
      </w:r>
    </w:p>
    <w:p w14:paraId="5090A85A" w14:textId="08E1BDEF" w:rsidR="00697150" w:rsidRPr="001B072C" w:rsidRDefault="008666A6" w:rsidP="001B072C">
      <w:pPr>
        <w:pStyle w:val="BodyText"/>
        <w:widowControl/>
        <w:numPr>
          <w:ilvl w:val="0"/>
          <w:numId w:val="7"/>
        </w:numPr>
        <w:autoSpaceDE/>
        <w:autoSpaceDN/>
        <w:spacing w:before="160" w:after="160" w:line="276" w:lineRule="auto"/>
        <w:ind w:left="360"/>
        <w:jc w:val="both"/>
      </w:pPr>
      <w:bookmarkStart w:id="0" w:name="_Hlk157840957"/>
      <w:bookmarkStart w:id="1" w:name="_Hlk157841574"/>
      <w:r w:rsidRPr="001B072C">
        <w:t>Program</w:t>
      </w:r>
      <w:r w:rsidRPr="001B072C">
        <w:rPr>
          <w:spacing w:val="-1"/>
        </w:rPr>
        <w:t xml:space="preserve"> </w:t>
      </w:r>
      <w:r w:rsidRPr="001B072C">
        <w:t>Design</w:t>
      </w:r>
      <w:r w:rsidR="009E1B65" w:rsidRPr="001B072C">
        <w:t>:</w:t>
      </w:r>
      <w:r w:rsidR="003547F9" w:rsidRPr="001B072C">
        <w:t xml:space="preserve"> </w:t>
      </w:r>
    </w:p>
    <w:p w14:paraId="7F82E33E" w14:textId="76CF0406" w:rsidR="00EF59D2" w:rsidRDefault="008666A6" w:rsidP="00157831">
      <w:pPr>
        <w:pStyle w:val="ListParagraph"/>
        <w:numPr>
          <w:ilvl w:val="1"/>
          <w:numId w:val="7"/>
        </w:numPr>
        <w:ind w:left="720"/>
        <w:jc w:val="both"/>
        <w:rPr>
          <w:sz w:val="24"/>
          <w:szCs w:val="24"/>
        </w:rPr>
      </w:pPr>
      <w:r w:rsidRPr="001B072C">
        <w:rPr>
          <w:sz w:val="24"/>
          <w:szCs w:val="24"/>
        </w:rPr>
        <w:t>Provide the services specified in this Statement of Work and those specified in any subsequent service revisions approved by</w:t>
      </w:r>
      <w:r w:rsidRPr="001B072C">
        <w:rPr>
          <w:spacing w:val="-7"/>
          <w:sz w:val="24"/>
          <w:szCs w:val="24"/>
        </w:rPr>
        <w:t xml:space="preserve"> </w:t>
      </w:r>
      <w:proofErr w:type="gramStart"/>
      <w:r w:rsidRPr="001B072C">
        <w:rPr>
          <w:sz w:val="24"/>
          <w:szCs w:val="24"/>
        </w:rPr>
        <w:t>HHSC;</w:t>
      </w:r>
      <w:proofErr w:type="gramEnd"/>
    </w:p>
    <w:p w14:paraId="7EDA5B94" w14:textId="77777777" w:rsidR="005426E2" w:rsidRPr="001B072C" w:rsidRDefault="005426E2" w:rsidP="005426E2">
      <w:pPr>
        <w:pStyle w:val="ListParagraph"/>
        <w:ind w:left="720" w:firstLine="0"/>
        <w:jc w:val="both"/>
        <w:rPr>
          <w:sz w:val="24"/>
          <w:szCs w:val="24"/>
        </w:rPr>
      </w:pPr>
    </w:p>
    <w:p w14:paraId="0DF790D7" w14:textId="1FC0B69C" w:rsidR="00D73066" w:rsidRPr="001B072C" w:rsidRDefault="00637A24" w:rsidP="00157831">
      <w:pPr>
        <w:pStyle w:val="ListParagraph"/>
        <w:numPr>
          <w:ilvl w:val="1"/>
          <w:numId w:val="7"/>
        </w:numPr>
        <w:ind w:left="720"/>
        <w:jc w:val="both"/>
        <w:rPr>
          <w:sz w:val="24"/>
          <w:szCs w:val="24"/>
        </w:rPr>
      </w:pPr>
      <w:r w:rsidRPr="001B072C">
        <w:rPr>
          <w:sz w:val="24"/>
          <w:szCs w:val="24"/>
        </w:rPr>
        <w:t xml:space="preserve">Grantee shall use funding to purchase </w:t>
      </w:r>
      <w:r w:rsidR="00414483" w:rsidRPr="001B072C">
        <w:rPr>
          <w:sz w:val="24"/>
          <w:szCs w:val="24"/>
        </w:rPr>
        <w:t xml:space="preserve">CPB </w:t>
      </w:r>
      <w:r w:rsidRPr="001B072C">
        <w:rPr>
          <w:sz w:val="24"/>
          <w:szCs w:val="24"/>
        </w:rPr>
        <w:t>as needed</w:t>
      </w:r>
      <w:r w:rsidR="00424618">
        <w:rPr>
          <w:sz w:val="24"/>
          <w:szCs w:val="24"/>
        </w:rPr>
        <w:t xml:space="preserve"> or provide inpatient mental health services</w:t>
      </w:r>
      <w:r w:rsidRPr="001B072C">
        <w:rPr>
          <w:sz w:val="24"/>
          <w:szCs w:val="24"/>
        </w:rPr>
        <w:t>.</w:t>
      </w:r>
      <w:r w:rsidR="00D73066" w:rsidRPr="001B072C">
        <w:rPr>
          <w:sz w:val="24"/>
          <w:szCs w:val="24"/>
        </w:rPr>
        <w:t xml:space="preserve"> </w:t>
      </w:r>
    </w:p>
    <w:p w14:paraId="47CABFD7" w14:textId="77777777" w:rsidR="00452CDB" w:rsidRPr="001B072C" w:rsidRDefault="00452CDB" w:rsidP="00157831">
      <w:pPr>
        <w:pStyle w:val="ListParagraph"/>
        <w:ind w:left="720" w:firstLine="0"/>
        <w:jc w:val="both"/>
        <w:rPr>
          <w:sz w:val="24"/>
          <w:szCs w:val="24"/>
        </w:rPr>
      </w:pPr>
      <w:bookmarkStart w:id="2" w:name="_Hlk157841420"/>
      <w:bookmarkEnd w:id="0"/>
    </w:p>
    <w:p w14:paraId="5C40B102" w14:textId="2B80A68D" w:rsidR="00C65CBC" w:rsidRPr="001B072C" w:rsidRDefault="00C65CBC" w:rsidP="00157831">
      <w:pPr>
        <w:pStyle w:val="ListParagraph"/>
        <w:numPr>
          <w:ilvl w:val="0"/>
          <w:numId w:val="7"/>
        </w:numPr>
        <w:ind w:left="360"/>
        <w:jc w:val="both"/>
        <w:rPr>
          <w:sz w:val="24"/>
          <w:szCs w:val="24"/>
        </w:rPr>
      </w:pPr>
      <w:bookmarkStart w:id="3" w:name="_Hlk157841332"/>
      <w:r w:rsidRPr="001B072C">
        <w:rPr>
          <w:sz w:val="24"/>
          <w:szCs w:val="24"/>
        </w:rPr>
        <w:t>Civil Capacity and Patients Served</w:t>
      </w:r>
      <w:r w:rsidR="00AC22DF" w:rsidRPr="001B072C">
        <w:rPr>
          <w:sz w:val="24"/>
          <w:szCs w:val="24"/>
        </w:rPr>
        <w:t>:</w:t>
      </w:r>
    </w:p>
    <w:p w14:paraId="38D38746" w14:textId="23007095" w:rsidR="00C65CBC" w:rsidRPr="001B072C" w:rsidRDefault="00C65CBC" w:rsidP="005426E2">
      <w:pPr>
        <w:pStyle w:val="BodyText"/>
        <w:widowControl/>
        <w:numPr>
          <w:ilvl w:val="1"/>
          <w:numId w:val="7"/>
        </w:numPr>
        <w:autoSpaceDE/>
        <w:autoSpaceDN/>
        <w:spacing w:before="160" w:after="160"/>
        <w:ind w:left="720"/>
        <w:jc w:val="both"/>
      </w:pPr>
      <w:r w:rsidRPr="001B072C">
        <w:t>Grantee shall use funding to purchase CPB, as needed</w:t>
      </w:r>
      <w:r w:rsidR="00572D6B">
        <w:t xml:space="preserve">. </w:t>
      </w:r>
      <w:r w:rsidRPr="001B072C">
        <w:t>Grantee shall negotiate the lowest possible rate</w:t>
      </w:r>
      <w:r w:rsidRPr="00157831">
        <w:t xml:space="preserve"> </w:t>
      </w:r>
      <w:r w:rsidRPr="001B072C">
        <w:t>with the subcontracting hospital, to the exten</w:t>
      </w:r>
      <w:r w:rsidR="00BD5425">
        <w:t>t</w:t>
      </w:r>
      <w:r w:rsidRPr="001B072C">
        <w:t xml:space="preserve"> possible.  </w:t>
      </w:r>
    </w:p>
    <w:p w14:paraId="25F95156" w14:textId="77777777" w:rsidR="00C65CBC" w:rsidRPr="001B072C" w:rsidRDefault="00C65CBC" w:rsidP="005426E2">
      <w:pPr>
        <w:pStyle w:val="BodyText"/>
        <w:widowControl/>
        <w:numPr>
          <w:ilvl w:val="1"/>
          <w:numId w:val="7"/>
        </w:numPr>
        <w:autoSpaceDE/>
        <w:autoSpaceDN/>
        <w:spacing w:before="160" w:after="160"/>
        <w:ind w:left="720"/>
        <w:jc w:val="both"/>
      </w:pPr>
      <w:r w:rsidRPr="001B072C">
        <w:lastRenderedPageBreak/>
        <w:t xml:space="preserve">The primary local service area for patients served under this Statement of Work includes the following Texas Counties: </w:t>
      </w:r>
      <w:r w:rsidRPr="0015435D">
        <w:t>«PPB_LSA».</w:t>
      </w:r>
    </w:p>
    <w:p w14:paraId="14812AC3" w14:textId="77777777" w:rsidR="00C65CBC" w:rsidRPr="001B072C" w:rsidRDefault="00C65CBC" w:rsidP="005426E2">
      <w:pPr>
        <w:pStyle w:val="BodyText"/>
        <w:widowControl/>
        <w:numPr>
          <w:ilvl w:val="1"/>
          <w:numId w:val="7"/>
        </w:numPr>
        <w:autoSpaceDE/>
        <w:autoSpaceDN/>
        <w:spacing w:before="160" w:after="160"/>
        <w:ind w:left="720"/>
        <w:jc w:val="both"/>
      </w:pPr>
      <w:r w:rsidRPr="001B072C">
        <w:t>Grantee shall require the Hospital to serve patients who present either voluntarily or through the civil commitment process.</w:t>
      </w:r>
    </w:p>
    <w:p w14:paraId="3A524120" w14:textId="77777777" w:rsidR="00C65CBC" w:rsidRPr="001B072C" w:rsidRDefault="00C65CBC" w:rsidP="005426E2">
      <w:pPr>
        <w:pStyle w:val="BodyText"/>
        <w:widowControl/>
        <w:numPr>
          <w:ilvl w:val="1"/>
          <w:numId w:val="7"/>
        </w:numPr>
        <w:autoSpaceDE/>
        <w:autoSpaceDN/>
        <w:spacing w:before="160" w:after="160"/>
        <w:ind w:left="720"/>
        <w:jc w:val="both"/>
      </w:pPr>
      <w:r w:rsidRPr="001B072C">
        <w:t>Grantee shall serve as the gatekeeper for patients served under this Statement of Work and shall establish a process for approving patient admissions to, and continued stay at, the Hospital.  This process must incorporate provisions that allow the Hospital to conduct medical screening evaluations, make medical condition determinations, and admit individuals who either present voluntarily or through the civil commitment process.</w:t>
      </w:r>
    </w:p>
    <w:p w14:paraId="74D923E3" w14:textId="2E4254AD" w:rsidR="00452CDB" w:rsidRPr="001B072C" w:rsidRDefault="00C65CBC" w:rsidP="001B072C">
      <w:pPr>
        <w:pStyle w:val="BodyText"/>
        <w:widowControl/>
        <w:numPr>
          <w:ilvl w:val="0"/>
          <w:numId w:val="7"/>
        </w:numPr>
        <w:autoSpaceDE/>
        <w:autoSpaceDN/>
        <w:spacing w:before="160" w:after="160" w:line="276" w:lineRule="auto"/>
        <w:ind w:left="360"/>
        <w:jc w:val="both"/>
      </w:pPr>
      <w:r w:rsidRPr="001B072C">
        <w:t>Compliance with Applicable Law:</w:t>
      </w:r>
    </w:p>
    <w:p w14:paraId="10C04F08" w14:textId="663C4522" w:rsidR="00315B18" w:rsidRDefault="00C65CBC" w:rsidP="00315B18">
      <w:pPr>
        <w:pStyle w:val="BodyText"/>
        <w:widowControl/>
        <w:numPr>
          <w:ilvl w:val="1"/>
          <w:numId w:val="7"/>
        </w:numPr>
        <w:autoSpaceDE/>
        <w:autoSpaceDN/>
        <w:spacing w:before="160" w:after="160"/>
        <w:ind w:left="720"/>
        <w:jc w:val="both"/>
      </w:pPr>
      <w:r w:rsidRPr="001B072C">
        <w:t>The provision of inpatient mental health services, including, but not limited to:</w:t>
      </w:r>
    </w:p>
    <w:p w14:paraId="6A5326C0" w14:textId="77777777" w:rsidR="00B94D00" w:rsidRPr="001B072C" w:rsidRDefault="00B94D00" w:rsidP="00B94D00">
      <w:pPr>
        <w:pStyle w:val="BodyText"/>
        <w:widowControl/>
        <w:numPr>
          <w:ilvl w:val="2"/>
          <w:numId w:val="7"/>
        </w:numPr>
        <w:autoSpaceDE/>
        <w:autoSpaceDN/>
        <w:spacing w:before="160" w:after="160"/>
        <w:ind w:left="1080"/>
        <w:jc w:val="both"/>
      </w:pPr>
      <w:r w:rsidRPr="001B072C">
        <w:t xml:space="preserve">Emergency Medical Treatment and Labor Act, 42 U.S.C.A. § </w:t>
      </w:r>
      <w:proofErr w:type="gramStart"/>
      <w:r w:rsidRPr="001B072C">
        <w:t>1395dd;</w:t>
      </w:r>
      <w:proofErr w:type="gramEnd"/>
    </w:p>
    <w:p w14:paraId="130279F5" w14:textId="77777777" w:rsidR="00B94D00" w:rsidRPr="001B072C" w:rsidRDefault="00B94D00" w:rsidP="00B94D00">
      <w:pPr>
        <w:pStyle w:val="BodyText"/>
        <w:widowControl/>
        <w:numPr>
          <w:ilvl w:val="2"/>
          <w:numId w:val="7"/>
        </w:numPr>
        <w:autoSpaceDE/>
        <w:autoSpaceDN/>
        <w:spacing w:before="160" w:after="160"/>
        <w:ind w:left="1080"/>
        <w:jc w:val="both"/>
      </w:pPr>
      <w:r w:rsidRPr="001B072C">
        <w:t xml:space="preserve">Health Insurance Portability and Accountability Act of 1996 (HIPAA) regulations at 45 CFR Part 164, and substance use record regulations at 42 CFR Part </w:t>
      </w:r>
      <w:proofErr w:type="gramStart"/>
      <w:r w:rsidRPr="001B072C">
        <w:t>2;</w:t>
      </w:r>
      <w:proofErr w:type="gramEnd"/>
    </w:p>
    <w:p w14:paraId="610D5630" w14:textId="77777777" w:rsidR="00B94D00" w:rsidRPr="001B072C" w:rsidRDefault="00B94D00" w:rsidP="00B94D00">
      <w:pPr>
        <w:pStyle w:val="BodyText"/>
        <w:widowControl/>
        <w:numPr>
          <w:ilvl w:val="2"/>
          <w:numId w:val="7"/>
        </w:numPr>
        <w:autoSpaceDE/>
        <w:autoSpaceDN/>
        <w:spacing w:before="160" w:after="160"/>
        <w:ind w:left="1080"/>
        <w:jc w:val="both"/>
      </w:pPr>
      <w:r w:rsidRPr="001B072C">
        <w:t>Texas Health and Safety Code Chapters 241, 571, 575, 576, and 577; and</w:t>
      </w:r>
    </w:p>
    <w:p w14:paraId="57B05364" w14:textId="77777777" w:rsidR="00B94D00" w:rsidRPr="001B072C" w:rsidRDefault="00B94D00" w:rsidP="00B94D00">
      <w:pPr>
        <w:pStyle w:val="BodyText"/>
        <w:widowControl/>
        <w:numPr>
          <w:ilvl w:val="2"/>
          <w:numId w:val="7"/>
        </w:numPr>
        <w:autoSpaceDE/>
        <w:autoSpaceDN/>
        <w:spacing w:before="160" w:after="160"/>
        <w:ind w:left="1080"/>
        <w:jc w:val="both"/>
      </w:pPr>
      <w:r w:rsidRPr="001B072C">
        <w:t>Title 25 Texas Administrative Code:</w:t>
      </w:r>
    </w:p>
    <w:p w14:paraId="227C0902" w14:textId="77777777" w:rsidR="00B94D00" w:rsidRPr="001B072C" w:rsidRDefault="00B94D00" w:rsidP="00B94D00">
      <w:pPr>
        <w:pStyle w:val="BodyText"/>
        <w:widowControl/>
        <w:numPr>
          <w:ilvl w:val="3"/>
          <w:numId w:val="7"/>
        </w:numPr>
        <w:autoSpaceDE/>
        <w:autoSpaceDN/>
        <w:spacing w:before="160" w:after="160"/>
        <w:ind w:left="1620"/>
        <w:jc w:val="both"/>
      </w:pPr>
      <w:r w:rsidRPr="001B072C">
        <w:t>Chapter 133 (Hospital Licensing)</w:t>
      </w:r>
    </w:p>
    <w:p w14:paraId="0B7257DD" w14:textId="77777777" w:rsidR="00B94D00" w:rsidRPr="001B072C" w:rsidRDefault="00B94D00" w:rsidP="00B94D00">
      <w:pPr>
        <w:pStyle w:val="BodyText"/>
        <w:widowControl/>
        <w:numPr>
          <w:ilvl w:val="3"/>
          <w:numId w:val="7"/>
        </w:numPr>
        <w:autoSpaceDE/>
        <w:autoSpaceDN/>
        <w:spacing w:before="160" w:after="160"/>
        <w:ind w:left="1620"/>
        <w:jc w:val="both"/>
      </w:pPr>
      <w:r w:rsidRPr="001B072C">
        <w:t>Chapter 404, Subchapter E (Rights of Persons Receiving Mental Health Services</w:t>
      </w:r>
      <w:proofErr w:type="gramStart"/>
      <w:r w:rsidRPr="001B072C">
        <w:t>);</w:t>
      </w:r>
      <w:proofErr w:type="gramEnd"/>
    </w:p>
    <w:p w14:paraId="3CA16D5C" w14:textId="77777777" w:rsidR="00B94D00" w:rsidRPr="001B072C" w:rsidRDefault="00B94D00" w:rsidP="00B94D00">
      <w:pPr>
        <w:pStyle w:val="BodyText"/>
        <w:widowControl/>
        <w:numPr>
          <w:ilvl w:val="3"/>
          <w:numId w:val="7"/>
        </w:numPr>
        <w:autoSpaceDE/>
        <w:autoSpaceDN/>
        <w:spacing w:before="160" w:after="160"/>
        <w:ind w:left="1620"/>
        <w:jc w:val="both"/>
      </w:pPr>
      <w:r w:rsidRPr="001B072C">
        <w:t>Chapter 405, Subchapter E (Electroconvulsive Therapy</w:t>
      </w:r>
      <w:proofErr w:type="gramStart"/>
      <w:r w:rsidRPr="001B072C">
        <w:t>);</w:t>
      </w:r>
      <w:proofErr w:type="gramEnd"/>
    </w:p>
    <w:p w14:paraId="17ED457B" w14:textId="77777777" w:rsidR="00B94D00" w:rsidRPr="001B072C" w:rsidRDefault="00B94D00" w:rsidP="00B94D00">
      <w:pPr>
        <w:pStyle w:val="BodyText"/>
        <w:widowControl/>
        <w:numPr>
          <w:ilvl w:val="3"/>
          <w:numId w:val="7"/>
        </w:numPr>
        <w:autoSpaceDE/>
        <w:autoSpaceDN/>
        <w:spacing w:before="160" w:after="160"/>
        <w:ind w:left="1620"/>
        <w:jc w:val="both"/>
      </w:pPr>
      <w:r w:rsidRPr="001B072C">
        <w:t>Chapter 414, Subchapter I (Consent to Treatment with Psychoactive Medication – Mental Health Services); and</w:t>
      </w:r>
    </w:p>
    <w:p w14:paraId="048F381C" w14:textId="77777777" w:rsidR="00B94D00" w:rsidRPr="001B072C" w:rsidRDefault="00B94D00" w:rsidP="00B94D00">
      <w:pPr>
        <w:pStyle w:val="BodyText"/>
        <w:widowControl/>
        <w:numPr>
          <w:ilvl w:val="3"/>
          <w:numId w:val="7"/>
        </w:numPr>
        <w:autoSpaceDE/>
        <w:autoSpaceDN/>
        <w:spacing w:before="160" w:after="160"/>
        <w:ind w:left="1620"/>
        <w:jc w:val="both"/>
      </w:pPr>
      <w:r w:rsidRPr="001B072C">
        <w:t>Chapter 415, Subchapter F (Interventions in Mental Health Programs).</w:t>
      </w:r>
    </w:p>
    <w:p w14:paraId="05683509" w14:textId="77777777" w:rsidR="00B94D00" w:rsidRPr="001B072C" w:rsidRDefault="00B94D00" w:rsidP="00B94D00">
      <w:pPr>
        <w:pStyle w:val="BodyText"/>
        <w:widowControl/>
        <w:numPr>
          <w:ilvl w:val="2"/>
          <w:numId w:val="7"/>
        </w:numPr>
        <w:autoSpaceDE/>
        <w:autoSpaceDN/>
        <w:spacing w:before="160" w:after="160"/>
        <w:ind w:left="1080"/>
        <w:jc w:val="both"/>
      </w:pPr>
      <w:r w:rsidRPr="001B072C">
        <w:t>Title 26 Texas Administrative Code:</w:t>
      </w:r>
    </w:p>
    <w:p w14:paraId="09C749DA" w14:textId="77777777" w:rsidR="00B94D00" w:rsidRPr="001B072C" w:rsidRDefault="00B94D00" w:rsidP="00B94D00">
      <w:pPr>
        <w:pStyle w:val="BodyText"/>
        <w:widowControl/>
        <w:numPr>
          <w:ilvl w:val="3"/>
          <w:numId w:val="7"/>
        </w:numPr>
        <w:autoSpaceDE/>
        <w:autoSpaceDN/>
        <w:spacing w:before="160" w:after="160"/>
        <w:ind w:left="1530" w:hanging="270"/>
        <w:jc w:val="both"/>
      </w:pPr>
      <w:r w:rsidRPr="001B072C">
        <w:t>Chapter 306 (Behavioral Health Delivery System</w:t>
      </w:r>
      <w:proofErr w:type="gramStart"/>
      <w:r w:rsidRPr="001B072C">
        <w:t>);</w:t>
      </w:r>
      <w:proofErr w:type="gramEnd"/>
    </w:p>
    <w:p w14:paraId="3D68F0C9" w14:textId="77777777" w:rsidR="00B94D00" w:rsidRDefault="00B94D00" w:rsidP="00B94D00">
      <w:pPr>
        <w:pStyle w:val="BodyText"/>
        <w:widowControl/>
        <w:numPr>
          <w:ilvl w:val="3"/>
          <w:numId w:val="7"/>
        </w:numPr>
        <w:autoSpaceDE/>
        <w:autoSpaceDN/>
        <w:spacing w:before="160" w:after="160"/>
        <w:ind w:left="1530" w:hanging="270"/>
        <w:jc w:val="both"/>
      </w:pPr>
      <w:r w:rsidRPr="001B072C">
        <w:t>Chapter 510 (Private Psychiatric Hospitals and Crisis Stabilization Units); and</w:t>
      </w:r>
    </w:p>
    <w:p w14:paraId="3F081B90" w14:textId="7DEA1885" w:rsidR="00B94D00" w:rsidRDefault="00B94D00" w:rsidP="005028D1">
      <w:pPr>
        <w:pStyle w:val="BodyText"/>
        <w:widowControl/>
        <w:numPr>
          <w:ilvl w:val="3"/>
          <w:numId w:val="7"/>
        </w:numPr>
        <w:autoSpaceDE/>
        <w:autoSpaceDN/>
        <w:spacing w:before="160" w:after="160"/>
        <w:ind w:left="1530" w:hanging="270"/>
        <w:jc w:val="both"/>
      </w:pPr>
      <w:r w:rsidRPr="001B072C">
        <w:t>Chapter 568 (Standards of Care and Treatment in Psychiatric Hospitals).</w:t>
      </w:r>
    </w:p>
    <w:p w14:paraId="0FD034DD" w14:textId="6DF7D117" w:rsidR="00FB5B54" w:rsidRDefault="00B94D00" w:rsidP="00315B18">
      <w:pPr>
        <w:pStyle w:val="BodyText"/>
        <w:widowControl/>
        <w:numPr>
          <w:ilvl w:val="1"/>
          <w:numId w:val="7"/>
        </w:numPr>
        <w:autoSpaceDE/>
        <w:autoSpaceDN/>
        <w:spacing w:before="160" w:after="160"/>
        <w:ind w:left="720"/>
        <w:jc w:val="both"/>
      </w:pPr>
      <w:r w:rsidRPr="00B94D00">
        <w:t>Medications and medication-related services provided to patients served under this Statement of Work as specified in 26 TAC Chapter 306, Subchapter G (Use and Maintenance of Health and Human Services Commission Psychiatric Drug Formulary)</w:t>
      </w:r>
    </w:p>
    <w:p w14:paraId="16760B60" w14:textId="0A4A7984" w:rsidR="00B80B77" w:rsidRPr="001B072C" w:rsidRDefault="00B80B77" w:rsidP="006A513C">
      <w:pPr>
        <w:pStyle w:val="BodyText"/>
        <w:widowControl/>
        <w:numPr>
          <w:ilvl w:val="1"/>
          <w:numId w:val="7"/>
        </w:numPr>
        <w:autoSpaceDE/>
        <w:autoSpaceDN/>
        <w:spacing w:before="160" w:after="160"/>
        <w:ind w:left="720"/>
        <w:jc w:val="both"/>
      </w:pPr>
      <w:r>
        <w:t xml:space="preserve">In addition to </w:t>
      </w:r>
      <w:r w:rsidRPr="00B80B77">
        <w:t>the reporting requirements outlined in 26 TAC Chapter 510 (Private Psychiatric Hospitals and Crisis Stabilization Units), Grantee shall report the investigation disposition of all reports of death, abuse, neglect, exploitation, or illegal, unethical or unprofessional conduct for patients served under this statement of work using Form ROI -  Report of Outcome of Investigation of Death, Abuse, Neglect, Exploitation, or Illegal, Unethical</w:t>
      </w:r>
      <w:r>
        <w:t xml:space="preserve"> </w:t>
      </w:r>
      <w:r w:rsidRPr="00B80B77">
        <w:t xml:space="preserve">or Unprofessional Conduct Form, located at </w:t>
      </w:r>
      <w:hyperlink r:id="rId8" w:history="1">
        <w:r w:rsidRPr="00385D7D">
          <w:rPr>
            <w:rStyle w:val="Hyperlink"/>
          </w:rPr>
          <w:t>https://resources.hhs.texas.gov/rfa/hhs0014211</w:t>
        </w:r>
      </w:hyperlink>
      <w:r w:rsidRPr="00B80B77">
        <w:t>.</w:t>
      </w:r>
    </w:p>
    <w:p w14:paraId="5090A861" w14:textId="6DA8984F" w:rsidR="00697150" w:rsidRPr="001B072C" w:rsidRDefault="008666A6" w:rsidP="005426E2">
      <w:pPr>
        <w:pStyle w:val="BodyText"/>
        <w:widowControl/>
        <w:numPr>
          <w:ilvl w:val="0"/>
          <w:numId w:val="7"/>
        </w:numPr>
        <w:autoSpaceDE/>
        <w:autoSpaceDN/>
        <w:spacing w:before="160" w:after="160"/>
        <w:ind w:left="360"/>
        <w:jc w:val="both"/>
      </w:pPr>
      <w:r w:rsidRPr="001B072C">
        <w:t>Program</w:t>
      </w:r>
      <w:r w:rsidR="00186CD8" w:rsidRPr="001B072C">
        <w:t xml:space="preserve"> </w:t>
      </w:r>
      <w:r w:rsidRPr="001B072C">
        <w:rPr>
          <w:spacing w:val="-3"/>
        </w:rPr>
        <w:t>Reporting</w:t>
      </w:r>
      <w:r w:rsidRPr="001B072C">
        <w:t>:</w:t>
      </w:r>
    </w:p>
    <w:p w14:paraId="4230DFC9" w14:textId="77E80F7F" w:rsidR="005C1012" w:rsidRPr="001B072C" w:rsidRDefault="006E1276" w:rsidP="005426E2">
      <w:pPr>
        <w:pStyle w:val="ListParagraph"/>
        <w:numPr>
          <w:ilvl w:val="0"/>
          <w:numId w:val="10"/>
        </w:numPr>
        <w:ind w:left="720" w:right="1798"/>
        <w:jc w:val="both"/>
      </w:pPr>
      <w:r>
        <w:rPr>
          <w:sz w:val="24"/>
          <w:szCs w:val="24"/>
        </w:rPr>
        <w:t>Grantee shall d</w:t>
      </w:r>
      <w:r w:rsidR="008666A6" w:rsidRPr="001B072C">
        <w:rPr>
          <w:sz w:val="24"/>
          <w:szCs w:val="24"/>
        </w:rPr>
        <w:t xml:space="preserve">evelop and electronically submit service delivery data written reports to HHSC using </w:t>
      </w:r>
      <w:r w:rsidR="00452CDB" w:rsidRPr="00157831">
        <w:rPr>
          <w:sz w:val="24"/>
          <w:szCs w:val="24"/>
        </w:rPr>
        <w:t xml:space="preserve">Form </w:t>
      </w:r>
      <w:r w:rsidR="00312532" w:rsidRPr="00157831">
        <w:rPr>
          <w:sz w:val="24"/>
          <w:szCs w:val="24"/>
        </w:rPr>
        <w:t>RIB</w:t>
      </w:r>
      <w:r w:rsidR="00452CDB" w:rsidRPr="001B072C">
        <w:rPr>
          <w:sz w:val="24"/>
          <w:szCs w:val="24"/>
        </w:rPr>
        <w:t xml:space="preserve"> </w:t>
      </w:r>
      <w:r w:rsidR="00312532" w:rsidRPr="001B072C">
        <w:rPr>
          <w:sz w:val="24"/>
          <w:szCs w:val="24"/>
        </w:rPr>
        <w:t>–</w:t>
      </w:r>
      <w:r w:rsidR="00452CDB" w:rsidRPr="001B072C">
        <w:rPr>
          <w:sz w:val="24"/>
          <w:szCs w:val="24"/>
        </w:rPr>
        <w:t xml:space="preserve"> </w:t>
      </w:r>
      <w:r w:rsidR="00312532" w:rsidRPr="001B072C">
        <w:rPr>
          <w:sz w:val="24"/>
          <w:szCs w:val="24"/>
        </w:rPr>
        <w:t>Rural Inpatient Beds</w:t>
      </w:r>
      <w:r w:rsidR="008666A6" w:rsidRPr="001B072C">
        <w:rPr>
          <w:sz w:val="24"/>
          <w:szCs w:val="24"/>
        </w:rPr>
        <w:t xml:space="preserve"> Report</w:t>
      </w:r>
      <w:r w:rsidR="00452CDB" w:rsidRPr="001B072C">
        <w:rPr>
          <w:sz w:val="24"/>
          <w:szCs w:val="24"/>
        </w:rPr>
        <w:t xml:space="preserve">, </w:t>
      </w:r>
      <w:bookmarkStart w:id="4" w:name="_Hlk158381787"/>
      <w:r w:rsidR="005426E2">
        <w:rPr>
          <w:sz w:val="24"/>
          <w:szCs w:val="24"/>
        </w:rPr>
        <w:lastRenderedPageBreak/>
        <w:t xml:space="preserve">located at </w:t>
      </w:r>
      <w:hyperlink r:id="rId9" w:history="1">
        <w:r w:rsidR="005426E2" w:rsidRPr="00FD0173">
          <w:rPr>
            <w:rStyle w:val="Hyperlink"/>
            <w:sz w:val="24"/>
          </w:rPr>
          <w:t>https://resources.hhs.texas.gov/rfa/hhs0014211</w:t>
        </w:r>
      </w:hyperlink>
      <w:r w:rsidR="005426E2">
        <w:rPr>
          <w:sz w:val="24"/>
        </w:rPr>
        <w:t xml:space="preserve">, </w:t>
      </w:r>
      <w:r w:rsidR="00312532" w:rsidRPr="001B072C">
        <w:rPr>
          <w:sz w:val="24"/>
          <w:szCs w:val="24"/>
        </w:rPr>
        <w:t>by the 15</w:t>
      </w:r>
      <w:r w:rsidR="00312532" w:rsidRPr="00157831">
        <w:rPr>
          <w:sz w:val="24"/>
          <w:szCs w:val="24"/>
          <w:vertAlign w:val="superscript"/>
        </w:rPr>
        <w:t>th</w:t>
      </w:r>
      <w:r w:rsidR="00312532" w:rsidRPr="001B072C">
        <w:rPr>
          <w:sz w:val="24"/>
          <w:szCs w:val="24"/>
        </w:rPr>
        <w:t xml:space="preserve"> business day of the following month. </w:t>
      </w:r>
      <w:bookmarkEnd w:id="4"/>
    </w:p>
    <w:p w14:paraId="09F6CE06" w14:textId="6B230AE3" w:rsidR="002C5C6D" w:rsidRPr="00157831" w:rsidRDefault="002C5C6D" w:rsidP="001B072C">
      <w:pPr>
        <w:ind w:left="720" w:right="378"/>
        <w:jc w:val="both"/>
        <w:rPr>
          <w:sz w:val="24"/>
          <w:szCs w:val="24"/>
        </w:rPr>
      </w:pPr>
    </w:p>
    <w:p w14:paraId="42753BB4" w14:textId="77777777" w:rsidR="00063817" w:rsidRPr="006A513C" w:rsidRDefault="001E6A1E" w:rsidP="001B072C">
      <w:pPr>
        <w:pStyle w:val="ListParagraph"/>
        <w:numPr>
          <w:ilvl w:val="0"/>
          <w:numId w:val="7"/>
        </w:numPr>
        <w:ind w:left="360" w:right="378"/>
        <w:jc w:val="both"/>
        <w:rPr>
          <w:sz w:val="24"/>
          <w:szCs w:val="24"/>
        </w:rPr>
      </w:pPr>
      <w:r w:rsidRPr="001B072C">
        <w:rPr>
          <w:sz w:val="24"/>
          <w:szCs w:val="24"/>
        </w:rPr>
        <w:t>Q</w:t>
      </w:r>
      <w:r w:rsidR="008666A6" w:rsidRPr="001B072C">
        <w:rPr>
          <w:sz w:val="24"/>
          <w:szCs w:val="24"/>
        </w:rPr>
        <w:t xml:space="preserve">uality </w:t>
      </w:r>
      <w:r w:rsidR="008666A6" w:rsidRPr="001B072C">
        <w:rPr>
          <w:spacing w:val="-2"/>
          <w:sz w:val="24"/>
          <w:szCs w:val="24"/>
        </w:rPr>
        <w:t xml:space="preserve">Assurance </w:t>
      </w:r>
    </w:p>
    <w:p w14:paraId="667FF885" w14:textId="77777777" w:rsidR="00063817" w:rsidRDefault="00063817" w:rsidP="00063817">
      <w:pPr>
        <w:pStyle w:val="ListParagraph"/>
        <w:ind w:left="360" w:right="378" w:firstLine="0"/>
        <w:jc w:val="both"/>
        <w:rPr>
          <w:spacing w:val="-2"/>
          <w:sz w:val="24"/>
          <w:szCs w:val="24"/>
        </w:rPr>
      </w:pPr>
    </w:p>
    <w:p w14:paraId="5090A870" w14:textId="5F449E76" w:rsidR="00697150" w:rsidRPr="001B072C" w:rsidRDefault="008666A6" w:rsidP="006A513C">
      <w:pPr>
        <w:pStyle w:val="ListParagraph"/>
        <w:ind w:left="360" w:right="378" w:firstLine="0"/>
        <w:jc w:val="both"/>
        <w:rPr>
          <w:sz w:val="24"/>
          <w:szCs w:val="24"/>
        </w:rPr>
      </w:pPr>
      <w:r w:rsidRPr="001B072C">
        <w:rPr>
          <w:sz w:val="24"/>
          <w:szCs w:val="24"/>
        </w:rPr>
        <w:t>Grantee</w:t>
      </w:r>
      <w:r w:rsidRPr="001B072C">
        <w:rPr>
          <w:spacing w:val="-2"/>
          <w:sz w:val="24"/>
          <w:szCs w:val="24"/>
        </w:rPr>
        <w:t xml:space="preserve"> </w:t>
      </w:r>
      <w:r w:rsidRPr="001B072C">
        <w:rPr>
          <w:sz w:val="24"/>
          <w:szCs w:val="24"/>
        </w:rPr>
        <w:t>shall:</w:t>
      </w:r>
    </w:p>
    <w:p w14:paraId="7D71265E" w14:textId="77777777" w:rsidR="00AC22DF" w:rsidRPr="001B072C" w:rsidRDefault="00AC22DF" w:rsidP="00157831">
      <w:pPr>
        <w:tabs>
          <w:tab w:val="left" w:pos="480"/>
        </w:tabs>
        <w:spacing w:before="90"/>
        <w:ind w:right="7338"/>
        <w:jc w:val="both"/>
        <w:rPr>
          <w:sz w:val="24"/>
          <w:szCs w:val="24"/>
        </w:rPr>
      </w:pPr>
    </w:p>
    <w:p w14:paraId="5090A871" w14:textId="13166898" w:rsidR="00697150" w:rsidRPr="001B072C" w:rsidRDefault="008666A6" w:rsidP="001B072C">
      <w:pPr>
        <w:pStyle w:val="ListParagraph"/>
        <w:numPr>
          <w:ilvl w:val="0"/>
          <w:numId w:val="11"/>
        </w:numPr>
        <w:spacing w:before="1"/>
        <w:ind w:left="720" w:right="724"/>
        <w:jc w:val="both"/>
        <w:rPr>
          <w:sz w:val="24"/>
          <w:szCs w:val="24"/>
        </w:rPr>
      </w:pPr>
      <w:r w:rsidRPr="001B072C">
        <w:rPr>
          <w:sz w:val="24"/>
          <w:szCs w:val="24"/>
        </w:rPr>
        <w:t>Develop and implement written policies and procedures to evaluate its</w:t>
      </w:r>
      <w:r w:rsidRPr="001B072C">
        <w:rPr>
          <w:spacing w:val="-21"/>
          <w:sz w:val="24"/>
          <w:szCs w:val="24"/>
        </w:rPr>
        <w:t xml:space="preserve"> </w:t>
      </w:r>
      <w:r w:rsidRPr="001B072C">
        <w:rPr>
          <w:sz w:val="24"/>
          <w:szCs w:val="24"/>
        </w:rPr>
        <w:t>performance against the requirements of this Statement of</w:t>
      </w:r>
      <w:r w:rsidRPr="001B072C">
        <w:rPr>
          <w:spacing w:val="-5"/>
          <w:sz w:val="24"/>
          <w:szCs w:val="24"/>
        </w:rPr>
        <w:t xml:space="preserve"> </w:t>
      </w:r>
      <w:proofErr w:type="gramStart"/>
      <w:r w:rsidRPr="001B072C">
        <w:rPr>
          <w:sz w:val="24"/>
          <w:szCs w:val="24"/>
        </w:rPr>
        <w:t>Work;</w:t>
      </w:r>
      <w:proofErr w:type="gramEnd"/>
    </w:p>
    <w:p w14:paraId="5DB75C78" w14:textId="77777777" w:rsidR="003F5AFF" w:rsidRPr="001B072C" w:rsidRDefault="003F5AFF" w:rsidP="001B072C">
      <w:pPr>
        <w:pStyle w:val="ListParagraph"/>
        <w:spacing w:before="1"/>
        <w:ind w:left="720" w:right="724" w:firstLine="0"/>
        <w:jc w:val="both"/>
        <w:rPr>
          <w:sz w:val="24"/>
          <w:szCs w:val="24"/>
        </w:rPr>
      </w:pPr>
    </w:p>
    <w:p w14:paraId="5090A872" w14:textId="5B3B2A52" w:rsidR="00697150" w:rsidRPr="001B072C" w:rsidRDefault="008666A6" w:rsidP="001B072C">
      <w:pPr>
        <w:pStyle w:val="ListParagraph"/>
        <w:numPr>
          <w:ilvl w:val="0"/>
          <w:numId w:val="11"/>
        </w:numPr>
        <w:ind w:left="720" w:right="451"/>
        <w:jc w:val="both"/>
        <w:rPr>
          <w:sz w:val="24"/>
          <w:szCs w:val="24"/>
        </w:rPr>
      </w:pPr>
      <w:r w:rsidRPr="001B072C">
        <w:rPr>
          <w:sz w:val="24"/>
          <w:szCs w:val="24"/>
        </w:rPr>
        <w:t>Measure individual and other local stakeholder (e.g., local criminal justice, emergency department partners) satisfaction;</w:t>
      </w:r>
      <w:r w:rsidRPr="001B072C">
        <w:rPr>
          <w:spacing w:val="-4"/>
          <w:sz w:val="24"/>
          <w:szCs w:val="24"/>
        </w:rPr>
        <w:t xml:space="preserve"> </w:t>
      </w:r>
      <w:r w:rsidRPr="001B072C">
        <w:rPr>
          <w:sz w:val="24"/>
          <w:szCs w:val="24"/>
        </w:rPr>
        <w:t>and</w:t>
      </w:r>
    </w:p>
    <w:p w14:paraId="07D36D0D" w14:textId="77777777" w:rsidR="003F5AFF" w:rsidRPr="001B072C" w:rsidRDefault="003F5AFF" w:rsidP="001B072C">
      <w:pPr>
        <w:pStyle w:val="ListParagraph"/>
        <w:ind w:left="720" w:right="451" w:firstLine="0"/>
        <w:jc w:val="both"/>
        <w:rPr>
          <w:sz w:val="24"/>
          <w:szCs w:val="24"/>
        </w:rPr>
      </w:pPr>
    </w:p>
    <w:p w14:paraId="4A82F6EA" w14:textId="1E6AC97F" w:rsidR="00B77D8A" w:rsidRPr="00063817" w:rsidRDefault="008666A6" w:rsidP="006A513C">
      <w:pPr>
        <w:pStyle w:val="ListParagraph"/>
        <w:numPr>
          <w:ilvl w:val="0"/>
          <w:numId w:val="11"/>
        </w:numPr>
        <w:ind w:left="720" w:right="270"/>
        <w:jc w:val="both"/>
      </w:pPr>
      <w:r w:rsidRPr="001B072C">
        <w:rPr>
          <w:sz w:val="24"/>
          <w:szCs w:val="24"/>
        </w:rPr>
        <w:t xml:space="preserve">Require that any subcontracted provider of CPBs for </w:t>
      </w:r>
      <w:r w:rsidR="00614F82">
        <w:rPr>
          <w:sz w:val="24"/>
          <w:szCs w:val="24"/>
        </w:rPr>
        <w:t xml:space="preserve">inpatient mental health services </w:t>
      </w:r>
      <w:r w:rsidRPr="001B072C">
        <w:rPr>
          <w:sz w:val="24"/>
          <w:szCs w:val="24"/>
        </w:rPr>
        <w:t>furnish notification to Grantee of any change in the licensure status or accreditation status of</w:t>
      </w:r>
      <w:r w:rsidRPr="001B072C">
        <w:rPr>
          <w:spacing w:val="-22"/>
          <w:sz w:val="24"/>
          <w:szCs w:val="24"/>
        </w:rPr>
        <w:t xml:space="preserve"> </w:t>
      </w:r>
      <w:r w:rsidRPr="001B072C">
        <w:rPr>
          <w:sz w:val="24"/>
          <w:szCs w:val="24"/>
        </w:rPr>
        <w:t>the</w:t>
      </w:r>
      <w:r w:rsidR="00063817">
        <w:rPr>
          <w:sz w:val="24"/>
          <w:szCs w:val="24"/>
        </w:rPr>
        <w:t xml:space="preserve"> </w:t>
      </w:r>
      <w:r w:rsidR="00B77D8A" w:rsidRPr="00063817">
        <w:rPr>
          <w:sz w:val="24"/>
          <w:szCs w:val="24"/>
        </w:rPr>
        <w:t xml:space="preserve">Grantee’s subcontractor’s facility where the </w:t>
      </w:r>
      <w:r w:rsidRPr="00063817">
        <w:rPr>
          <w:sz w:val="24"/>
          <w:szCs w:val="24"/>
        </w:rPr>
        <w:t xml:space="preserve">CPBs are </w:t>
      </w:r>
      <w:proofErr w:type="gramStart"/>
      <w:r w:rsidRPr="00063817">
        <w:rPr>
          <w:sz w:val="24"/>
          <w:szCs w:val="24"/>
        </w:rPr>
        <w:t>provided</w:t>
      </w:r>
      <w:proofErr w:type="gramEnd"/>
      <w:r w:rsidRPr="00063817">
        <w:rPr>
          <w:sz w:val="24"/>
          <w:szCs w:val="24"/>
        </w:rPr>
        <w:t xml:space="preserve"> and </w:t>
      </w:r>
      <w:r w:rsidR="00B77D8A" w:rsidRPr="00063817">
        <w:rPr>
          <w:sz w:val="24"/>
          <w:szCs w:val="24"/>
        </w:rPr>
        <w:t xml:space="preserve">subcontractors provide licensure and accreditation review reports to Grantee upon request. </w:t>
      </w:r>
    </w:p>
    <w:p w14:paraId="2BEE61CB" w14:textId="77777777" w:rsidR="003F5AFF" w:rsidRPr="001B072C" w:rsidRDefault="003F5AFF" w:rsidP="001B072C">
      <w:pPr>
        <w:pStyle w:val="BodyText"/>
        <w:ind w:left="720" w:right="161"/>
        <w:jc w:val="both"/>
      </w:pPr>
    </w:p>
    <w:p w14:paraId="24FCD1E8" w14:textId="3A909C15" w:rsidR="00C8666A" w:rsidRPr="001B072C" w:rsidRDefault="00C8666A" w:rsidP="001B072C">
      <w:pPr>
        <w:pStyle w:val="ListParagraph"/>
        <w:numPr>
          <w:ilvl w:val="0"/>
          <w:numId w:val="7"/>
        </w:numPr>
        <w:ind w:left="360" w:right="161"/>
        <w:jc w:val="both"/>
        <w:rPr>
          <w:sz w:val="24"/>
          <w:szCs w:val="24"/>
        </w:rPr>
      </w:pPr>
      <w:r w:rsidRPr="001B072C">
        <w:rPr>
          <w:sz w:val="24"/>
          <w:szCs w:val="24"/>
        </w:rPr>
        <w:t xml:space="preserve">Implementation requirements for all services. Grantee shall ensure all services are: </w:t>
      </w:r>
    </w:p>
    <w:p w14:paraId="2C7E05E5" w14:textId="391CE5C3" w:rsidR="003F5AFF" w:rsidRPr="00157831" w:rsidRDefault="003F5AFF" w:rsidP="00157831">
      <w:pPr>
        <w:tabs>
          <w:tab w:val="left" w:pos="840"/>
        </w:tabs>
        <w:ind w:right="161"/>
        <w:jc w:val="both"/>
        <w:rPr>
          <w:sz w:val="24"/>
          <w:szCs w:val="24"/>
        </w:rPr>
      </w:pPr>
    </w:p>
    <w:p w14:paraId="0D77E566" w14:textId="37F97BF0" w:rsidR="00B77D8A" w:rsidRPr="001B072C" w:rsidRDefault="00C8666A" w:rsidP="001B072C">
      <w:pPr>
        <w:pStyle w:val="ListParagraph"/>
        <w:numPr>
          <w:ilvl w:val="1"/>
          <w:numId w:val="7"/>
        </w:numPr>
        <w:ind w:left="720"/>
        <w:jc w:val="both"/>
        <w:rPr>
          <w:sz w:val="24"/>
          <w:szCs w:val="24"/>
        </w:rPr>
      </w:pPr>
      <w:r w:rsidRPr="001B072C">
        <w:rPr>
          <w:sz w:val="24"/>
          <w:szCs w:val="24"/>
        </w:rPr>
        <w:t xml:space="preserve">Delivered using a trauma-informed </w:t>
      </w:r>
      <w:proofErr w:type="gramStart"/>
      <w:r w:rsidRPr="001B072C">
        <w:rPr>
          <w:sz w:val="24"/>
          <w:szCs w:val="24"/>
        </w:rPr>
        <w:t>approach;</w:t>
      </w:r>
      <w:proofErr w:type="gramEnd"/>
    </w:p>
    <w:p w14:paraId="16A4FC9B" w14:textId="03C2885F" w:rsidR="00B77D8A" w:rsidRPr="00157831" w:rsidRDefault="00C8666A" w:rsidP="001B072C">
      <w:pPr>
        <w:pStyle w:val="ListParagraph"/>
        <w:numPr>
          <w:ilvl w:val="1"/>
          <w:numId w:val="7"/>
        </w:numPr>
        <w:ind w:left="720"/>
        <w:jc w:val="both"/>
        <w:rPr>
          <w:sz w:val="24"/>
          <w:szCs w:val="24"/>
        </w:rPr>
      </w:pPr>
      <w:r w:rsidRPr="00157831">
        <w:rPr>
          <w:sz w:val="24"/>
          <w:szCs w:val="24"/>
        </w:rPr>
        <w:t>Implemented with 100% model fidelity to an evidence-based program or based upon best available research (if applicable</w:t>
      </w:r>
      <w:proofErr w:type="gramStart"/>
      <w:r w:rsidRPr="00157831">
        <w:rPr>
          <w:sz w:val="24"/>
          <w:szCs w:val="24"/>
        </w:rPr>
        <w:t>);</w:t>
      </w:r>
      <w:proofErr w:type="gramEnd"/>
    </w:p>
    <w:p w14:paraId="75337806" w14:textId="108187C3" w:rsidR="00C8666A" w:rsidRPr="00157831" w:rsidRDefault="00C8666A" w:rsidP="001B072C">
      <w:pPr>
        <w:pStyle w:val="ListParagraph"/>
        <w:numPr>
          <w:ilvl w:val="1"/>
          <w:numId w:val="7"/>
        </w:numPr>
        <w:ind w:left="720"/>
        <w:jc w:val="both"/>
        <w:rPr>
          <w:sz w:val="24"/>
          <w:szCs w:val="24"/>
        </w:rPr>
      </w:pPr>
      <w:r w:rsidRPr="00157831">
        <w:rPr>
          <w:sz w:val="24"/>
          <w:szCs w:val="24"/>
        </w:rPr>
        <w:t xml:space="preserve">Planned in partnership with individuals receiving services and inclusive of peers </w:t>
      </w:r>
      <w:r w:rsidR="008677A7" w:rsidRPr="001B072C">
        <w:rPr>
          <w:sz w:val="24"/>
          <w:szCs w:val="24"/>
        </w:rPr>
        <w:tab/>
      </w:r>
      <w:r w:rsidRPr="00157831">
        <w:rPr>
          <w:sz w:val="24"/>
          <w:szCs w:val="24"/>
        </w:rPr>
        <w:t>and</w:t>
      </w:r>
      <w:r w:rsidR="000836BC" w:rsidRPr="00157831">
        <w:rPr>
          <w:sz w:val="24"/>
          <w:szCs w:val="24"/>
        </w:rPr>
        <w:t xml:space="preserve"> </w:t>
      </w:r>
      <w:r w:rsidRPr="00157831">
        <w:rPr>
          <w:sz w:val="24"/>
          <w:szCs w:val="24"/>
        </w:rPr>
        <w:t xml:space="preserve">family </w:t>
      </w:r>
      <w:proofErr w:type="gramStart"/>
      <w:r w:rsidRPr="00157831">
        <w:rPr>
          <w:sz w:val="24"/>
          <w:szCs w:val="24"/>
        </w:rPr>
        <w:t>members;</w:t>
      </w:r>
      <w:proofErr w:type="gramEnd"/>
    </w:p>
    <w:p w14:paraId="18C56897" w14:textId="77777777" w:rsidR="003F5AFF" w:rsidRPr="00157831" w:rsidRDefault="003F5AFF" w:rsidP="00157831">
      <w:pPr>
        <w:jc w:val="both"/>
        <w:rPr>
          <w:sz w:val="24"/>
          <w:szCs w:val="24"/>
        </w:rPr>
      </w:pPr>
    </w:p>
    <w:p w14:paraId="057DD71B" w14:textId="7CB940FA" w:rsidR="003F5AFF" w:rsidRPr="00157831" w:rsidRDefault="00C8666A" w:rsidP="00157831">
      <w:pPr>
        <w:pStyle w:val="ListParagraph"/>
        <w:numPr>
          <w:ilvl w:val="1"/>
          <w:numId w:val="7"/>
        </w:numPr>
        <w:ind w:left="720"/>
        <w:jc w:val="both"/>
        <w:rPr>
          <w:sz w:val="24"/>
          <w:szCs w:val="24"/>
        </w:rPr>
      </w:pPr>
      <w:r w:rsidRPr="001B072C">
        <w:rPr>
          <w:sz w:val="24"/>
          <w:szCs w:val="24"/>
        </w:rPr>
        <w:t xml:space="preserve">Provided in an environment that is most appropriate and/or based on an individual’s </w:t>
      </w:r>
      <w:proofErr w:type="gramStart"/>
      <w:r w:rsidRPr="001B072C">
        <w:rPr>
          <w:sz w:val="24"/>
          <w:szCs w:val="24"/>
        </w:rPr>
        <w:t>preference;</w:t>
      </w:r>
      <w:proofErr w:type="gramEnd"/>
    </w:p>
    <w:p w14:paraId="37D22ABA" w14:textId="77777777" w:rsidR="003F5AFF" w:rsidRPr="00157831" w:rsidRDefault="003F5AFF" w:rsidP="00157831">
      <w:pPr>
        <w:jc w:val="both"/>
        <w:rPr>
          <w:sz w:val="24"/>
          <w:szCs w:val="24"/>
        </w:rPr>
      </w:pPr>
    </w:p>
    <w:p w14:paraId="081757C6" w14:textId="677F8AFD" w:rsidR="00C8666A" w:rsidRPr="001B072C" w:rsidRDefault="00C8666A" w:rsidP="001B072C">
      <w:pPr>
        <w:pStyle w:val="ListParagraph"/>
        <w:numPr>
          <w:ilvl w:val="1"/>
          <w:numId w:val="7"/>
        </w:numPr>
        <w:ind w:left="720"/>
        <w:jc w:val="both"/>
        <w:rPr>
          <w:sz w:val="24"/>
          <w:szCs w:val="24"/>
        </w:rPr>
      </w:pPr>
      <w:r w:rsidRPr="001B072C">
        <w:rPr>
          <w:sz w:val="24"/>
          <w:szCs w:val="24"/>
        </w:rPr>
        <w:t xml:space="preserve">Provided in a culturally and linguistically sensitive </w:t>
      </w:r>
      <w:proofErr w:type="gramStart"/>
      <w:r w:rsidRPr="001B072C">
        <w:rPr>
          <w:sz w:val="24"/>
          <w:szCs w:val="24"/>
        </w:rPr>
        <w:t>manner;</w:t>
      </w:r>
      <w:proofErr w:type="gramEnd"/>
    </w:p>
    <w:p w14:paraId="7A1516FF" w14:textId="28B07B71" w:rsidR="003F5AFF" w:rsidRPr="00157831" w:rsidRDefault="003F5AFF" w:rsidP="00157831">
      <w:pPr>
        <w:jc w:val="both"/>
        <w:rPr>
          <w:sz w:val="24"/>
          <w:szCs w:val="24"/>
        </w:rPr>
      </w:pPr>
      <w:r w:rsidRPr="00157831">
        <w:rPr>
          <w:sz w:val="24"/>
          <w:szCs w:val="24"/>
        </w:rPr>
        <w:tab/>
      </w:r>
      <w:r w:rsidRPr="00157831">
        <w:rPr>
          <w:sz w:val="24"/>
          <w:szCs w:val="24"/>
        </w:rPr>
        <w:tab/>
      </w:r>
    </w:p>
    <w:p w14:paraId="028F04D3" w14:textId="0AEC00C5" w:rsidR="00C8666A" w:rsidRPr="001B072C" w:rsidRDefault="00C8666A" w:rsidP="001B072C">
      <w:pPr>
        <w:pStyle w:val="ListParagraph"/>
        <w:numPr>
          <w:ilvl w:val="1"/>
          <w:numId w:val="7"/>
        </w:numPr>
        <w:ind w:left="720"/>
        <w:jc w:val="both"/>
        <w:rPr>
          <w:sz w:val="24"/>
          <w:szCs w:val="24"/>
        </w:rPr>
      </w:pPr>
      <w:r w:rsidRPr="001B072C">
        <w:rPr>
          <w:sz w:val="24"/>
          <w:szCs w:val="24"/>
        </w:rPr>
        <w:t>Tailored to an individual’s unique strengths and needs; and</w:t>
      </w:r>
    </w:p>
    <w:p w14:paraId="629B4F5F" w14:textId="6C2F447E" w:rsidR="003F5AFF" w:rsidRPr="00157831" w:rsidRDefault="003F5AFF" w:rsidP="00157831">
      <w:pPr>
        <w:jc w:val="both"/>
        <w:rPr>
          <w:sz w:val="24"/>
          <w:szCs w:val="24"/>
        </w:rPr>
      </w:pPr>
    </w:p>
    <w:p w14:paraId="5090A889" w14:textId="381F22A9" w:rsidR="00697150" w:rsidRPr="001B072C" w:rsidRDefault="00C8666A" w:rsidP="001B072C">
      <w:pPr>
        <w:pStyle w:val="ListParagraph"/>
        <w:numPr>
          <w:ilvl w:val="1"/>
          <w:numId w:val="7"/>
        </w:numPr>
        <w:ind w:left="720"/>
        <w:jc w:val="both"/>
        <w:rPr>
          <w:sz w:val="24"/>
          <w:szCs w:val="24"/>
        </w:rPr>
      </w:pPr>
      <w:r w:rsidRPr="001B072C">
        <w:rPr>
          <w:sz w:val="24"/>
          <w:szCs w:val="24"/>
        </w:rPr>
        <w:t>Delivered within a continuum of care using a holistic method that integrates mental health services with other services including substance use disorder,</w:t>
      </w:r>
      <w:r w:rsidR="00B77D8A" w:rsidRPr="001B072C">
        <w:rPr>
          <w:sz w:val="24"/>
          <w:szCs w:val="24"/>
        </w:rPr>
        <w:t xml:space="preserve"> </w:t>
      </w:r>
      <w:r w:rsidRPr="001B072C">
        <w:rPr>
          <w:sz w:val="24"/>
          <w:szCs w:val="24"/>
        </w:rPr>
        <w:t>intellectual and/or developmental disability, and physical health services.</w:t>
      </w:r>
    </w:p>
    <w:p w14:paraId="485E4F0C" w14:textId="7B6C92C0" w:rsidR="003F5AFF" w:rsidRPr="00157831" w:rsidRDefault="003F5AFF" w:rsidP="00157831">
      <w:pPr>
        <w:jc w:val="both"/>
        <w:rPr>
          <w:sz w:val="24"/>
          <w:szCs w:val="24"/>
        </w:rPr>
      </w:pPr>
    </w:p>
    <w:bookmarkEnd w:id="1"/>
    <w:bookmarkEnd w:id="2"/>
    <w:bookmarkEnd w:id="3"/>
    <w:p w14:paraId="02771734" w14:textId="5ED2B59B" w:rsidR="008677A7" w:rsidRPr="001B072C" w:rsidRDefault="00256FE7" w:rsidP="001B072C">
      <w:pPr>
        <w:pStyle w:val="ListParagraph"/>
        <w:numPr>
          <w:ilvl w:val="0"/>
          <w:numId w:val="7"/>
        </w:numPr>
        <w:ind w:left="360"/>
        <w:jc w:val="both"/>
        <w:rPr>
          <w:sz w:val="24"/>
          <w:szCs w:val="24"/>
        </w:rPr>
      </w:pPr>
      <w:r w:rsidRPr="00157831">
        <w:rPr>
          <w:sz w:val="24"/>
          <w:szCs w:val="24"/>
        </w:rPr>
        <w:t>Collaboration with LMHAs/LBHAs</w:t>
      </w:r>
      <w:r w:rsidR="00B77D8A" w:rsidRPr="001B072C">
        <w:rPr>
          <w:sz w:val="24"/>
          <w:szCs w:val="24"/>
        </w:rPr>
        <w:t xml:space="preserve">.  </w:t>
      </w:r>
      <w:r w:rsidRPr="001B072C">
        <w:rPr>
          <w:sz w:val="24"/>
          <w:szCs w:val="24"/>
        </w:rPr>
        <w:t xml:space="preserve">Pursuant to Texas Government Code Section 531.09936(b): A nonprofit or governmental entity that applies for a grant under this section must work in cooperation with local mental health authorities (LMHAs) or local behavioral health authorities (LBHAs) located primarily in rural areas of Texas. </w:t>
      </w:r>
    </w:p>
    <w:p w14:paraId="0BD5EC2C" w14:textId="2B157C78" w:rsidR="008677A7" w:rsidRPr="001B072C" w:rsidRDefault="008677A7" w:rsidP="00157831">
      <w:pPr>
        <w:jc w:val="both"/>
        <w:rPr>
          <w:sz w:val="24"/>
          <w:szCs w:val="24"/>
        </w:rPr>
      </w:pPr>
    </w:p>
    <w:p w14:paraId="77683FAF" w14:textId="0CC4C77A" w:rsidR="00B77D8A" w:rsidRPr="001B072C" w:rsidRDefault="00256FE7" w:rsidP="001B072C">
      <w:pPr>
        <w:pStyle w:val="ListParagraph"/>
        <w:numPr>
          <w:ilvl w:val="0"/>
          <w:numId w:val="7"/>
        </w:numPr>
        <w:ind w:left="360"/>
        <w:jc w:val="both"/>
        <w:rPr>
          <w:sz w:val="24"/>
          <w:szCs w:val="24"/>
        </w:rPr>
      </w:pPr>
      <w:r w:rsidRPr="00157831">
        <w:rPr>
          <w:sz w:val="24"/>
          <w:szCs w:val="24"/>
        </w:rPr>
        <w:t>Match Requirements</w:t>
      </w:r>
      <w:r w:rsidR="00B77D8A" w:rsidRPr="001B072C">
        <w:rPr>
          <w:sz w:val="24"/>
          <w:szCs w:val="24"/>
        </w:rPr>
        <w:t xml:space="preserve">.  </w:t>
      </w:r>
      <w:r w:rsidRPr="001B072C">
        <w:rPr>
          <w:sz w:val="24"/>
          <w:szCs w:val="24"/>
        </w:rPr>
        <w:t>Grantee must obtain and report matching funds which shall include cash or in-kind contributions from a person or organization but shall not include money from state or federal funds. Non-state or federal sourced funding may include gifts, grants, or donations from any person or organization.  The amount of match required is dependent on the population of the rural counties being served as follows:</w:t>
      </w:r>
    </w:p>
    <w:p w14:paraId="74254884" w14:textId="77777777" w:rsidR="002C5C6D" w:rsidRPr="001B072C" w:rsidRDefault="002C5C6D" w:rsidP="00157831">
      <w:pPr>
        <w:pStyle w:val="ListParagraph"/>
        <w:ind w:left="360" w:firstLine="0"/>
        <w:jc w:val="both"/>
        <w:rPr>
          <w:sz w:val="24"/>
          <w:szCs w:val="24"/>
        </w:rPr>
      </w:pPr>
    </w:p>
    <w:p w14:paraId="7E13A3E1" w14:textId="0D24768D" w:rsidR="00B77D8A" w:rsidRPr="001B072C" w:rsidRDefault="00B77D8A" w:rsidP="001B072C">
      <w:pPr>
        <w:pStyle w:val="ListParagraph"/>
        <w:numPr>
          <w:ilvl w:val="1"/>
          <w:numId w:val="7"/>
        </w:numPr>
        <w:ind w:left="720"/>
        <w:jc w:val="both"/>
        <w:rPr>
          <w:sz w:val="24"/>
          <w:szCs w:val="24"/>
        </w:rPr>
      </w:pPr>
      <w:r w:rsidRPr="001B072C">
        <w:rPr>
          <w:sz w:val="24"/>
          <w:szCs w:val="24"/>
        </w:rPr>
        <w:t xml:space="preserve">Equal to fifty percent (50%) of the grant amount if the RIGP </w:t>
      </w:r>
      <w:proofErr w:type="gramStart"/>
      <w:r w:rsidRPr="001B072C">
        <w:rPr>
          <w:sz w:val="24"/>
          <w:szCs w:val="24"/>
        </w:rPr>
        <w:t>is located in</w:t>
      </w:r>
      <w:proofErr w:type="gramEnd"/>
      <w:r w:rsidRPr="001B072C">
        <w:rPr>
          <w:sz w:val="24"/>
          <w:szCs w:val="24"/>
        </w:rPr>
        <w:t xml:space="preserve"> a county with a population of less than 250,000 but more than 100,000.</w:t>
      </w:r>
    </w:p>
    <w:p w14:paraId="77C4D893" w14:textId="02B73FA6" w:rsidR="00B77D8A" w:rsidRPr="00157831" w:rsidRDefault="00B77D8A" w:rsidP="00157831">
      <w:pPr>
        <w:pStyle w:val="ListParagraph"/>
        <w:numPr>
          <w:ilvl w:val="1"/>
          <w:numId w:val="7"/>
        </w:numPr>
        <w:ind w:left="720"/>
        <w:jc w:val="both"/>
        <w:rPr>
          <w:sz w:val="24"/>
          <w:szCs w:val="24"/>
        </w:rPr>
      </w:pPr>
      <w:r w:rsidRPr="00157831">
        <w:rPr>
          <w:sz w:val="24"/>
          <w:szCs w:val="24"/>
        </w:rPr>
        <w:lastRenderedPageBreak/>
        <w:t xml:space="preserve">Equal to twenty-five percent (25%) of grant amount if the RIGP </w:t>
      </w:r>
      <w:proofErr w:type="gramStart"/>
      <w:r w:rsidRPr="00157831">
        <w:rPr>
          <w:sz w:val="24"/>
          <w:szCs w:val="24"/>
        </w:rPr>
        <w:t>is located in</w:t>
      </w:r>
      <w:proofErr w:type="gramEnd"/>
      <w:r w:rsidRPr="00157831">
        <w:rPr>
          <w:sz w:val="24"/>
          <w:szCs w:val="24"/>
        </w:rPr>
        <w:t xml:space="preserve"> a county with a population of at least 100,000 or less.</w:t>
      </w:r>
    </w:p>
    <w:p w14:paraId="6D48C021" w14:textId="7A1D5046" w:rsidR="00B77D8A" w:rsidRPr="00157831" w:rsidRDefault="00B77D8A" w:rsidP="00157831">
      <w:pPr>
        <w:pStyle w:val="ListParagraph"/>
        <w:numPr>
          <w:ilvl w:val="1"/>
          <w:numId w:val="7"/>
        </w:numPr>
        <w:ind w:left="720"/>
        <w:jc w:val="both"/>
        <w:rPr>
          <w:sz w:val="24"/>
          <w:szCs w:val="24"/>
        </w:rPr>
      </w:pPr>
      <w:r w:rsidRPr="00157831">
        <w:rPr>
          <w:sz w:val="24"/>
          <w:szCs w:val="24"/>
        </w:rPr>
        <w:t>RIGP Projects providing or coordinating services in multiple counties must match the percentage required based on the county with the largest population in the proposed project service area</w:t>
      </w:r>
      <w:r w:rsidR="002C5C6D" w:rsidRPr="00157831">
        <w:rPr>
          <w:sz w:val="24"/>
          <w:szCs w:val="24"/>
        </w:rPr>
        <w:t>.</w:t>
      </w:r>
    </w:p>
    <w:p w14:paraId="5C2E27EB" w14:textId="77777777" w:rsidR="00352D5B" w:rsidRPr="001B072C" w:rsidRDefault="00352D5B" w:rsidP="00157831">
      <w:pPr>
        <w:jc w:val="both"/>
        <w:rPr>
          <w:sz w:val="24"/>
          <w:szCs w:val="24"/>
        </w:rPr>
      </w:pPr>
    </w:p>
    <w:p w14:paraId="3B794CA6" w14:textId="519D7E92" w:rsidR="00E035D1" w:rsidRPr="001B072C" w:rsidRDefault="00256FE7" w:rsidP="001B072C">
      <w:pPr>
        <w:pStyle w:val="ListParagraph"/>
        <w:numPr>
          <w:ilvl w:val="0"/>
          <w:numId w:val="7"/>
        </w:numPr>
        <w:ind w:left="360"/>
        <w:jc w:val="both"/>
        <w:rPr>
          <w:sz w:val="24"/>
          <w:szCs w:val="24"/>
        </w:rPr>
      </w:pPr>
      <w:r w:rsidRPr="001B072C">
        <w:rPr>
          <w:sz w:val="24"/>
          <w:szCs w:val="24"/>
        </w:rPr>
        <w:t>Subcontracting</w:t>
      </w:r>
      <w:r w:rsidR="00B77D8A" w:rsidRPr="001B072C">
        <w:rPr>
          <w:sz w:val="24"/>
          <w:szCs w:val="24"/>
        </w:rPr>
        <w:t xml:space="preserve">.  </w:t>
      </w:r>
      <w:r w:rsidRPr="001B072C">
        <w:rPr>
          <w:sz w:val="24"/>
          <w:szCs w:val="24"/>
        </w:rPr>
        <w:t xml:space="preserve">Should a Grantee subcontract any of the services under their </w:t>
      </w:r>
      <w:r w:rsidR="009B68EB" w:rsidRPr="001B072C">
        <w:rPr>
          <w:sz w:val="24"/>
          <w:szCs w:val="24"/>
        </w:rPr>
        <w:t>program</w:t>
      </w:r>
      <w:r w:rsidRPr="001B072C">
        <w:rPr>
          <w:sz w:val="24"/>
          <w:szCs w:val="24"/>
        </w:rPr>
        <w:t xml:space="preserve">, Grantee expressly understands and acknowledges that in </w:t>
      </w:r>
      <w:r w:rsidR="001B072C" w:rsidRPr="001B072C">
        <w:rPr>
          <w:sz w:val="24"/>
          <w:szCs w:val="24"/>
        </w:rPr>
        <w:t>entering</w:t>
      </w:r>
      <w:r w:rsidRPr="001B072C">
        <w:rPr>
          <w:sz w:val="24"/>
          <w:szCs w:val="24"/>
        </w:rPr>
        <w:t xml:space="preserve"> such subcontract(s), HHSC is in no manner liable to any subcontractor(s). Furthermore, in no event shall this provision relieve grantee of the responsibility for ensuring that the services performed under all subcontracts are rendered in compliance with the contract.</w:t>
      </w:r>
    </w:p>
    <w:p w14:paraId="7E1BEB16" w14:textId="007A0079" w:rsidR="00352D5B" w:rsidRPr="001B072C" w:rsidRDefault="00352D5B" w:rsidP="00157831">
      <w:pPr>
        <w:jc w:val="both"/>
        <w:rPr>
          <w:sz w:val="24"/>
          <w:szCs w:val="24"/>
        </w:rPr>
      </w:pPr>
    </w:p>
    <w:p w14:paraId="08ED5BBB" w14:textId="191FBC98" w:rsidR="00FC0268" w:rsidRPr="00157831" w:rsidRDefault="008666A6" w:rsidP="001B072C">
      <w:pPr>
        <w:pStyle w:val="ListParagraph"/>
        <w:numPr>
          <w:ilvl w:val="0"/>
          <w:numId w:val="12"/>
        </w:numPr>
        <w:ind w:left="0"/>
        <w:jc w:val="both"/>
        <w:rPr>
          <w:sz w:val="24"/>
          <w:szCs w:val="24"/>
        </w:rPr>
      </w:pPr>
      <w:r w:rsidRPr="001B072C">
        <w:rPr>
          <w:b/>
          <w:bCs/>
          <w:sz w:val="24"/>
          <w:szCs w:val="24"/>
        </w:rPr>
        <w:t>PERFORMANCE MEASURES</w:t>
      </w:r>
    </w:p>
    <w:p w14:paraId="09588165" w14:textId="77777777" w:rsidR="00707745" w:rsidRPr="00157831" w:rsidRDefault="00707745" w:rsidP="00157831">
      <w:pPr>
        <w:pStyle w:val="ListParagraph"/>
        <w:ind w:left="0" w:firstLine="0"/>
        <w:jc w:val="both"/>
        <w:rPr>
          <w:sz w:val="24"/>
          <w:szCs w:val="24"/>
        </w:rPr>
      </w:pPr>
    </w:p>
    <w:p w14:paraId="35C572D1" w14:textId="1F920C8F" w:rsidR="00FC0268" w:rsidRPr="00157831" w:rsidRDefault="001F6727" w:rsidP="001B072C">
      <w:pPr>
        <w:jc w:val="both"/>
        <w:rPr>
          <w:sz w:val="24"/>
          <w:szCs w:val="24"/>
        </w:rPr>
      </w:pPr>
      <w:r w:rsidRPr="00157831">
        <w:rPr>
          <w:sz w:val="24"/>
          <w:szCs w:val="24"/>
        </w:rPr>
        <w:t>The terms of this Statement of Work, including the following performance measures, will be used to assess Grantee’s effectiveness in providing the required services as described in this Statement of Work. No terms of the Contract, in which this Statement of Work is incorporated, are waived.</w:t>
      </w:r>
    </w:p>
    <w:p w14:paraId="5090A891" w14:textId="77777777" w:rsidR="00697150" w:rsidRPr="001B072C" w:rsidRDefault="00697150" w:rsidP="00157831">
      <w:pPr>
        <w:pStyle w:val="BodyText"/>
        <w:spacing w:before="11"/>
        <w:jc w:val="both"/>
      </w:pPr>
    </w:p>
    <w:p w14:paraId="4EFB2744" w14:textId="22759D8D" w:rsidR="00FC0268" w:rsidRPr="001B072C" w:rsidRDefault="008666A6" w:rsidP="00157831">
      <w:pPr>
        <w:pStyle w:val="BodyText"/>
        <w:numPr>
          <w:ilvl w:val="1"/>
          <w:numId w:val="27"/>
        </w:numPr>
        <w:ind w:left="360"/>
        <w:jc w:val="both"/>
      </w:pPr>
      <w:bookmarkStart w:id="5" w:name="_Hlk157840194"/>
      <w:r w:rsidRPr="001B072C">
        <w:t>The following reports and documents shall be submitted as specified below</w:t>
      </w:r>
      <w:r w:rsidR="009E1B65" w:rsidRPr="001B072C">
        <w:t>:</w:t>
      </w:r>
    </w:p>
    <w:p w14:paraId="3F9B13B3" w14:textId="77777777" w:rsidR="00FC0268" w:rsidRPr="001B072C" w:rsidRDefault="00FC0268" w:rsidP="00157831">
      <w:pPr>
        <w:pStyle w:val="BodyText"/>
        <w:ind w:left="119"/>
        <w:jc w:val="both"/>
      </w:pPr>
    </w:p>
    <w:p w14:paraId="5090A893" w14:textId="77777777" w:rsidR="00697150" w:rsidRPr="001B072C" w:rsidRDefault="008666A6" w:rsidP="00157831">
      <w:pPr>
        <w:pStyle w:val="ListParagraph"/>
        <w:numPr>
          <w:ilvl w:val="0"/>
          <w:numId w:val="2"/>
        </w:numPr>
        <w:ind w:left="720"/>
        <w:jc w:val="both"/>
        <w:rPr>
          <w:sz w:val="24"/>
          <w:szCs w:val="24"/>
        </w:rPr>
      </w:pPr>
      <w:r w:rsidRPr="001B072C">
        <w:rPr>
          <w:sz w:val="24"/>
          <w:szCs w:val="24"/>
        </w:rPr>
        <w:t>Service Delivery</w:t>
      </w:r>
      <w:r w:rsidRPr="001B072C">
        <w:rPr>
          <w:spacing w:val="-7"/>
          <w:sz w:val="24"/>
          <w:szCs w:val="24"/>
        </w:rPr>
        <w:t xml:space="preserve"> </w:t>
      </w:r>
      <w:r w:rsidRPr="001B072C">
        <w:rPr>
          <w:sz w:val="24"/>
          <w:szCs w:val="24"/>
        </w:rPr>
        <w:t>Reports:</w:t>
      </w:r>
    </w:p>
    <w:p w14:paraId="74A4E16B" w14:textId="3559B647" w:rsidR="00910DF8" w:rsidRPr="001B072C" w:rsidRDefault="008666A6" w:rsidP="005426E2">
      <w:pPr>
        <w:pStyle w:val="ListParagraph"/>
        <w:numPr>
          <w:ilvl w:val="1"/>
          <w:numId w:val="2"/>
        </w:numPr>
        <w:ind w:right="30"/>
        <w:rPr>
          <w:sz w:val="24"/>
          <w:szCs w:val="24"/>
        </w:rPr>
      </w:pPr>
      <w:r w:rsidRPr="001B072C">
        <w:rPr>
          <w:sz w:val="24"/>
          <w:szCs w:val="24"/>
        </w:rPr>
        <w:t xml:space="preserve">Grantee shall submit </w:t>
      </w:r>
      <w:r w:rsidR="001F6727" w:rsidRPr="00157831">
        <w:rPr>
          <w:sz w:val="24"/>
          <w:szCs w:val="24"/>
        </w:rPr>
        <w:t xml:space="preserve">Form </w:t>
      </w:r>
      <w:r w:rsidR="00910DF8" w:rsidRPr="00157831">
        <w:rPr>
          <w:sz w:val="24"/>
          <w:szCs w:val="24"/>
        </w:rPr>
        <w:t>RIB</w:t>
      </w:r>
      <w:r w:rsidR="001F6727" w:rsidRPr="00157831">
        <w:rPr>
          <w:sz w:val="24"/>
          <w:szCs w:val="24"/>
        </w:rPr>
        <w:t>,</w:t>
      </w:r>
      <w:r w:rsidRPr="001B072C">
        <w:rPr>
          <w:sz w:val="24"/>
          <w:szCs w:val="24"/>
        </w:rPr>
        <w:t xml:space="preserve"> </w:t>
      </w:r>
      <w:r w:rsidR="005426E2">
        <w:rPr>
          <w:sz w:val="24"/>
          <w:szCs w:val="24"/>
        </w:rPr>
        <w:t xml:space="preserve">located at </w:t>
      </w:r>
      <w:hyperlink r:id="rId10" w:history="1">
        <w:r w:rsidR="005426E2" w:rsidRPr="00FD0173">
          <w:rPr>
            <w:rStyle w:val="Hyperlink"/>
            <w:sz w:val="24"/>
          </w:rPr>
          <w:t>https://resources.hhs.texas.gov/rfa/hhs0014211</w:t>
        </w:r>
      </w:hyperlink>
      <w:r w:rsidR="005426E2">
        <w:rPr>
          <w:sz w:val="24"/>
        </w:rPr>
        <w:t>,</w:t>
      </w:r>
      <w:r w:rsidR="005426E2">
        <w:rPr>
          <w:sz w:val="24"/>
          <w:szCs w:val="24"/>
        </w:rPr>
        <w:t xml:space="preserve"> </w:t>
      </w:r>
      <w:r w:rsidR="00910DF8" w:rsidRPr="001B072C">
        <w:rPr>
          <w:sz w:val="24"/>
          <w:szCs w:val="24"/>
        </w:rPr>
        <w:t xml:space="preserve">by the 15th business day of the following month. </w:t>
      </w:r>
    </w:p>
    <w:p w14:paraId="5090A8B4" w14:textId="77777777" w:rsidR="00697150" w:rsidRPr="001B072C" w:rsidRDefault="00697150" w:rsidP="00157831">
      <w:pPr>
        <w:pStyle w:val="BodyText"/>
        <w:jc w:val="both"/>
      </w:pPr>
    </w:p>
    <w:p w14:paraId="5090A8B5" w14:textId="35AD922A" w:rsidR="00697150" w:rsidRPr="001B072C" w:rsidRDefault="008666A6" w:rsidP="00157831">
      <w:pPr>
        <w:pStyle w:val="ListParagraph"/>
        <w:numPr>
          <w:ilvl w:val="0"/>
          <w:numId w:val="2"/>
        </w:numPr>
        <w:tabs>
          <w:tab w:val="left" w:pos="840"/>
        </w:tabs>
        <w:jc w:val="both"/>
        <w:rPr>
          <w:sz w:val="24"/>
          <w:szCs w:val="24"/>
        </w:rPr>
      </w:pPr>
      <w:r w:rsidRPr="001B072C">
        <w:rPr>
          <w:sz w:val="24"/>
          <w:szCs w:val="24"/>
        </w:rPr>
        <w:t>Policies and</w:t>
      </w:r>
      <w:r w:rsidRPr="001B072C">
        <w:rPr>
          <w:spacing w:val="-1"/>
          <w:sz w:val="24"/>
          <w:szCs w:val="24"/>
        </w:rPr>
        <w:t xml:space="preserve"> </w:t>
      </w:r>
      <w:r w:rsidRPr="001B072C">
        <w:rPr>
          <w:sz w:val="24"/>
          <w:szCs w:val="24"/>
        </w:rPr>
        <w:t>Procedures</w:t>
      </w:r>
      <w:r w:rsidR="00614F82">
        <w:rPr>
          <w:sz w:val="24"/>
          <w:szCs w:val="24"/>
        </w:rPr>
        <w:t>:</w:t>
      </w:r>
    </w:p>
    <w:p w14:paraId="5090A8BB" w14:textId="4E016257" w:rsidR="00697150" w:rsidRDefault="008666A6" w:rsidP="00157831">
      <w:pPr>
        <w:pStyle w:val="BodyText"/>
        <w:ind w:left="839"/>
        <w:jc w:val="both"/>
      </w:pPr>
      <w:r w:rsidRPr="001B072C">
        <w:t>Grantee shall submit to HHSC written policies and procedures for</w:t>
      </w:r>
      <w:r w:rsidRPr="001B072C">
        <w:rPr>
          <w:spacing w:val="-16"/>
        </w:rPr>
        <w:t xml:space="preserve"> </w:t>
      </w:r>
      <w:r w:rsidR="00FF0D6C" w:rsidRPr="001B072C">
        <w:t>CPB</w:t>
      </w:r>
      <w:r w:rsidRPr="001B072C">
        <w:t xml:space="preserve"> required within this Statement of Work,</w:t>
      </w:r>
      <w:r w:rsidR="000836BC" w:rsidRPr="001B072C">
        <w:t xml:space="preserve"> on or before the 30</w:t>
      </w:r>
      <w:r w:rsidR="000836BC" w:rsidRPr="00157831">
        <w:rPr>
          <w:vertAlign w:val="superscript"/>
        </w:rPr>
        <w:t>th</w:t>
      </w:r>
      <w:r w:rsidR="000836BC" w:rsidRPr="001B072C">
        <w:t xml:space="preserve"> calendar following contract execution. </w:t>
      </w:r>
      <w:r w:rsidRPr="001B072C">
        <w:t>HHSC will review</w:t>
      </w:r>
      <w:r w:rsidR="000836BC" w:rsidRPr="001B072C">
        <w:t xml:space="preserve"> and approve</w:t>
      </w:r>
      <w:r w:rsidRPr="001B072C">
        <w:t xml:space="preserve"> policy and procedure submissions for each program. HHSC may request additional information, including resubmission of policies and procedures.</w:t>
      </w:r>
    </w:p>
    <w:p w14:paraId="26269439" w14:textId="387956F2" w:rsidR="005426E2" w:rsidRDefault="005426E2" w:rsidP="005426E2">
      <w:pPr>
        <w:pStyle w:val="BodyText"/>
        <w:jc w:val="both"/>
      </w:pPr>
    </w:p>
    <w:p w14:paraId="2382C485" w14:textId="77777777" w:rsidR="005426E2" w:rsidRPr="005426E2" w:rsidRDefault="005426E2" w:rsidP="00A16DAF">
      <w:pPr>
        <w:numPr>
          <w:ilvl w:val="0"/>
          <w:numId w:val="32"/>
        </w:numPr>
        <w:tabs>
          <w:tab w:val="clear" w:pos="1800"/>
        </w:tabs>
        <w:ind w:left="810" w:hanging="270"/>
        <w:rPr>
          <w:sz w:val="24"/>
          <w:szCs w:val="24"/>
        </w:rPr>
      </w:pPr>
      <w:r w:rsidRPr="005426E2">
        <w:rPr>
          <w:sz w:val="24"/>
          <w:szCs w:val="24"/>
        </w:rPr>
        <w:t>Grantee shall collect and report to HHSC information for program participants using HHSC-approved instruments and reporting tools. HHSC will negotiate performance measures with Grantees using a standardized menu of outputs and outcomes that will align with the type of work funded. Types of data shall include, but are not limited to:</w:t>
      </w:r>
    </w:p>
    <w:p w14:paraId="6AB9F483" w14:textId="77777777" w:rsidR="005426E2" w:rsidRPr="005426E2" w:rsidRDefault="005426E2" w:rsidP="00A16DAF">
      <w:pPr>
        <w:numPr>
          <w:ilvl w:val="1"/>
          <w:numId w:val="30"/>
        </w:numPr>
        <w:ind w:left="1170"/>
        <w:rPr>
          <w:sz w:val="24"/>
          <w:szCs w:val="24"/>
        </w:rPr>
      </w:pPr>
      <w:r w:rsidRPr="005426E2">
        <w:rPr>
          <w:sz w:val="24"/>
          <w:szCs w:val="24"/>
        </w:rPr>
        <w:t xml:space="preserve">Pre- and post-service </w:t>
      </w:r>
      <w:proofErr w:type="gramStart"/>
      <w:r w:rsidRPr="005426E2">
        <w:rPr>
          <w:sz w:val="24"/>
          <w:szCs w:val="24"/>
        </w:rPr>
        <w:t>assessments;</w:t>
      </w:r>
      <w:proofErr w:type="gramEnd"/>
    </w:p>
    <w:p w14:paraId="7AE62964" w14:textId="77777777" w:rsidR="005426E2" w:rsidRPr="005426E2" w:rsidRDefault="005426E2" w:rsidP="00A16DAF">
      <w:pPr>
        <w:numPr>
          <w:ilvl w:val="1"/>
          <w:numId w:val="30"/>
        </w:numPr>
        <w:ind w:left="1170"/>
        <w:rPr>
          <w:sz w:val="24"/>
          <w:szCs w:val="24"/>
        </w:rPr>
      </w:pPr>
      <w:r w:rsidRPr="005426E2">
        <w:rPr>
          <w:sz w:val="24"/>
          <w:szCs w:val="24"/>
        </w:rPr>
        <w:t xml:space="preserve">Services </w:t>
      </w:r>
      <w:proofErr w:type="gramStart"/>
      <w:r w:rsidRPr="005426E2">
        <w:rPr>
          <w:sz w:val="24"/>
          <w:szCs w:val="24"/>
        </w:rPr>
        <w:t>delivered;</w:t>
      </w:r>
      <w:proofErr w:type="gramEnd"/>
    </w:p>
    <w:p w14:paraId="6ACEDF6E" w14:textId="77777777" w:rsidR="005426E2" w:rsidRPr="005426E2" w:rsidRDefault="005426E2" w:rsidP="00A16DAF">
      <w:pPr>
        <w:numPr>
          <w:ilvl w:val="1"/>
          <w:numId w:val="30"/>
        </w:numPr>
        <w:ind w:left="1170"/>
        <w:rPr>
          <w:sz w:val="24"/>
          <w:szCs w:val="24"/>
        </w:rPr>
      </w:pPr>
      <w:r w:rsidRPr="005426E2">
        <w:rPr>
          <w:sz w:val="24"/>
          <w:szCs w:val="24"/>
        </w:rPr>
        <w:t>Standard demographic information i.e., gender, age, race, ethnicity, income, and education attainment; and</w:t>
      </w:r>
    </w:p>
    <w:p w14:paraId="1D5E73C7" w14:textId="77777777" w:rsidR="005426E2" w:rsidRPr="005426E2" w:rsidRDefault="005426E2" w:rsidP="00A16DAF">
      <w:pPr>
        <w:numPr>
          <w:ilvl w:val="1"/>
          <w:numId w:val="30"/>
        </w:numPr>
        <w:ind w:left="1170"/>
        <w:rPr>
          <w:sz w:val="24"/>
          <w:szCs w:val="24"/>
        </w:rPr>
      </w:pPr>
      <w:r w:rsidRPr="005426E2">
        <w:rPr>
          <w:sz w:val="24"/>
          <w:szCs w:val="24"/>
        </w:rPr>
        <w:t>Prevention of adverse events.</w:t>
      </w:r>
    </w:p>
    <w:p w14:paraId="4B8C53A9" w14:textId="77777777" w:rsidR="005426E2" w:rsidRPr="005426E2" w:rsidRDefault="005426E2" w:rsidP="005426E2">
      <w:pPr>
        <w:ind w:left="1530"/>
        <w:rPr>
          <w:sz w:val="24"/>
          <w:szCs w:val="24"/>
        </w:rPr>
      </w:pPr>
    </w:p>
    <w:p w14:paraId="61726757" w14:textId="77777777" w:rsidR="005426E2" w:rsidRPr="005426E2" w:rsidRDefault="005426E2" w:rsidP="00A16DAF">
      <w:pPr>
        <w:numPr>
          <w:ilvl w:val="0"/>
          <w:numId w:val="32"/>
        </w:numPr>
        <w:tabs>
          <w:tab w:val="clear" w:pos="1800"/>
        </w:tabs>
        <w:ind w:left="810" w:hanging="270"/>
        <w:rPr>
          <w:sz w:val="24"/>
          <w:szCs w:val="24"/>
        </w:rPr>
      </w:pPr>
      <w:r w:rsidRPr="005426E2">
        <w:rPr>
          <w:sz w:val="24"/>
          <w:szCs w:val="24"/>
        </w:rPr>
        <w:t>Grantee shall submit a Performance Report no later than thirty (30) calendar days after the end of each state fiscal year quarter. Performance reports must show progress towards both:</w:t>
      </w:r>
    </w:p>
    <w:p w14:paraId="7CF3527D" w14:textId="663BAC05" w:rsidR="005426E2" w:rsidRPr="00A16DAF" w:rsidRDefault="005426E2" w:rsidP="00A16DAF">
      <w:pPr>
        <w:pStyle w:val="ListParagraph"/>
        <w:numPr>
          <w:ilvl w:val="2"/>
          <w:numId w:val="27"/>
        </w:numPr>
        <w:ind w:left="1170" w:hanging="450"/>
        <w:rPr>
          <w:sz w:val="24"/>
          <w:szCs w:val="24"/>
        </w:rPr>
      </w:pPr>
      <w:r w:rsidRPr="00A16DAF">
        <w:rPr>
          <w:sz w:val="24"/>
          <w:szCs w:val="24"/>
        </w:rPr>
        <w:t>Outputs: Counts or percentages that show the number of services/activities or encounters delivered; and</w:t>
      </w:r>
    </w:p>
    <w:p w14:paraId="1DB0761B" w14:textId="472DFC99" w:rsidR="005426E2" w:rsidRPr="00A16DAF" w:rsidRDefault="005426E2" w:rsidP="00A16DAF">
      <w:pPr>
        <w:pStyle w:val="ListParagraph"/>
        <w:numPr>
          <w:ilvl w:val="2"/>
          <w:numId w:val="27"/>
        </w:numPr>
        <w:ind w:left="1170"/>
        <w:rPr>
          <w:sz w:val="24"/>
          <w:szCs w:val="24"/>
        </w:rPr>
      </w:pPr>
      <w:r w:rsidRPr="00A16DAF">
        <w:rPr>
          <w:sz w:val="24"/>
          <w:szCs w:val="24"/>
        </w:rPr>
        <w:t xml:space="preserve">Outcomes: Measures showing benefits to program participants </w:t>
      </w:r>
      <w:proofErr w:type="gramStart"/>
      <w:r w:rsidRPr="00A16DAF">
        <w:rPr>
          <w:sz w:val="24"/>
          <w:szCs w:val="24"/>
        </w:rPr>
        <w:t>as a result of</w:t>
      </w:r>
      <w:proofErr w:type="gramEnd"/>
      <w:r w:rsidRPr="00A16DAF">
        <w:rPr>
          <w:sz w:val="24"/>
          <w:szCs w:val="24"/>
        </w:rPr>
        <w:t xml:space="preserve"> services/activities received (such as positive changes to knowledge, skills and/or behaviors)</w:t>
      </w:r>
    </w:p>
    <w:p w14:paraId="15AFA47B" w14:textId="77777777" w:rsidR="005426E2" w:rsidRPr="005426E2" w:rsidRDefault="005426E2" w:rsidP="005426E2">
      <w:pPr>
        <w:ind w:left="1530"/>
        <w:rPr>
          <w:sz w:val="24"/>
          <w:szCs w:val="24"/>
        </w:rPr>
      </w:pPr>
    </w:p>
    <w:p w14:paraId="0E45BEC8" w14:textId="77777777" w:rsidR="005426E2" w:rsidRPr="005426E2" w:rsidRDefault="005426E2" w:rsidP="00A16DAF">
      <w:pPr>
        <w:numPr>
          <w:ilvl w:val="0"/>
          <w:numId w:val="32"/>
        </w:numPr>
        <w:tabs>
          <w:tab w:val="clear" w:pos="1800"/>
        </w:tabs>
        <w:ind w:left="900"/>
        <w:rPr>
          <w:sz w:val="24"/>
          <w:szCs w:val="24"/>
        </w:rPr>
      </w:pPr>
      <w:r w:rsidRPr="005426E2">
        <w:rPr>
          <w:sz w:val="24"/>
          <w:szCs w:val="24"/>
        </w:rPr>
        <w:lastRenderedPageBreak/>
        <w:t xml:space="preserve">Grantee shall submit a bi-annual report for the Statewide Behavioral Health Coordinating Council using Exhibit I, SBHCC Report Template, located at </w:t>
      </w:r>
      <w:hyperlink r:id="rId11" w:history="1">
        <w:r w:rsidRPr="005426E2">
          <w:rPr>
            <w:color w:val="0000FF" w:themeColor="hyperlink"/>
            <w:sz w:val="24"/>
            <w:szCs w:val="24"/>
            <w:u w:val="single"/>
          </w:rPr>
          <w:t>https://resources.hhs.texas.gov/rfa/hhs0014211</w:t>
        </w:r>
      </w:hyperlink>
      <w:r w:rsidRPr="005426E2">
        <w:rPr>
          <w:sz w:val="24"/>
          <w:szCs w:val="24"/>
        </w:rPr>
        <w:t>.</w:t>
      </w:r>
    </w:p>
    <w:p w14:paraId="0767B031" w14:textId="5F4CAEBC" w:rsidR="004712D3" w:rsidRDefault="004712D3" w:rsidP="004712D3">
      <w:pPr>
        <w:rPr>
          <w:sz w:val="24"/>
          <w:szCs w:val="24"/>
        </w:rPr>
      </w:pPr>
    </w:p>
    <w:p w14:paraId="5090A8CB" w14:textId="0EFD08AE" w:rsidR="00697150" w:rsidRPr="00157831" w:rsidRDefault="004712D3" w:rsidP="005028D1">
      <w:pPr>
        <w:pStyle w:val="BodyText"/>
        <w:numPr>
          <w:ilvl w:val="0"/>
          <w:numId w:val="32"/>
        </w:numPr>
        <w:tabs>
          <w:tab w:val="clear" w:pos="1800"/>
        </w:tabs>
        <w:ind w:left="900"/>
        <w:jc w:val="both"/>
      </w:pPr>
      <w:r w:rsidRPr="004712D3">
        <w:t xml:space="preserve">Grantee shall submit, as instructed, all required reports, documentation, and other information, including any pertaining to performance measures, by email to </w:t>
      </w:r>
      <w:hyperlink r:id="rId12" w:history="1">
        <w:r w:rsidR="00FF7386" w:rsidRPr="00594CAA">
          <w:rPr>
            <w:rStyle w:val="Hyperlink"/>
          </w:rPr>
          <w:t>mhcontracts@hhsc.state.tx.us</w:t>
        </w:r>
      </w:hyperlink>
      <w:r w:rsidR="00FF7386">
        <w:t xml:space="preserve"> </w:t>
      </w:r>
      <w:r w:rsidRPr="004712D3">
        <w:t xml:space="preserve">and System Agency Contract Representative.   </w:t>
      </w:r>
      <w:bookmarkEnd w:id="5"/>
    </w:p>
    <w:p w14:paraId="5090A8CC" w14:textId="77777777" w:rsidR="00697150" w:rsidRPr="00157831" w:rsidRDefault="00697150" w:rsidP="00157831">
      <w:pPr>
        <w:pStyle w:val="BodyText"/>
        <w:spacing w:before="6"/>
        <w:jc w:val="both"/>
      </w:pPr>
    </w:p>
    <w:sectPr w:rsidR="00697150" w:rsidRPr="00157831" w:rsidSect="005426E2">
      <w:headerReference w:type="default" r:id="rId13"/>
      <w:pgSz w:w="12240" w:h="15840"/>
      <w:pgMar w:top="620" w:right="1350" w:bottom="1160" w:left="1320" w:header="182" w:footer="9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92242" w14:textId="77777777" w:rsidR="00057618" w:rsidRDefault="00057618">
      <w:r>
        <w:separator/>
      </w:r>
    </w:p>
  </w:endnote>
  <w:endnote w:type="continuationSeparator" w:id="0">
    <w:p w14:paraId="4CA04077" w14:textId="77777777" w:rsidR="00057618" w:rsidRDefault="0005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F51C6" w14:textId="77777777" w:rsidR="00057618" w:rsidRDefault="00057618">
      <w:r>
        <w:separator/>
      </w:r>
    </w:p>
  </w:footnote>
  <w:footnote w:type="continuationSeparator" w:id="0">
    <w:p w14:paraId="7A7D6996" w14:textId="77777777" w:rsidR="00057618" w:rsidRDefault="00057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B49A3" w14:textId="64E33375" w:rsidR="00C44B58" w:rsidRDefault="00C44B58">
    <w:pPr>
      <w:pStyle w:val="Header"/>
    </w:pPr>
    <w:r>
      <w:t>HHS0014211 Request for Applications</w:t>
    </w:r>
  </w:p>
  <w:p w14:paraId="1310491B" w14:textId="50F073DE" w:rsidR="00C44B58" w:rsidRDefault="00C44B58">
    <w:pPr>
      <w:pStyle w:val="Header"/>
    </w:pPr>
    <w:r>
      <w:t>Exhibit 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4F44"/>
    <w:multiLevelType w:val="hybridMultilevel"/>
    <w:tmpl w:val="3074287E"/>
    <w:lvl w:ilvl="0" w:tplc="04090011">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6C56051"/>
    <w:multiLevelType w:val="hybridMultilevel"/>
    <w:tmpl w:val="8356007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7963F55"/>
    <w:multiLevelType w:val="hybridMultilevel"/>
    <w:tmpl w:val="E7A2C8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12760"/>
    <w:multiLevelType w:val="hybridMultilevel"/>
    <w:tmpl w:val="088C4CF2"/>
    <w:lvl w:ilvl="0" w:tplc="5798C054">
      <w:start w:val="1"/>
      <w:numFmt w:val="upperLetter"/>
      <w:lvlText w:val="%1."/>
      <w:lvlJc w:val="left"/>
      <w:pPr>
        <w:ind w:left="1080" w:hanging="360"/>
      </w:pPr>
      <w:rPr>
        <w:rFonts w:hint="default"/>
        <w:b w:val="0"/>
        <w:bCs w:val="0"/>
      </w:rPr>
    </w:lvl>
    <w:lvl w:ilvl="1" w:tplc="0409000F">
      <w:start w:val="1"/>
      <w:numFmt w:val="decimal"/>
      <w:lvlText w:val="%2."/>
      <w:lvlJc w:val="left"/>
      <w:pPr>
        <w:ind w:left="1800" w:hanging="360"/>
      </w:pPr>
    </w:lvl>
    <w:lvl w:ilvl="2" w:tplc="04090019">
      <w:start w:val="1"/>
      <w:numFmt w:val="lowerLetter"/>
      <w:lvlText w:val="%3."/>
      <w:lvlJc w:val="left"/>
      <w:pPr>
        <w:ind w:left="2700" w:hanging="36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E14135"/>
    <w:multiLevelType w:val="hybridMultilevel"/>
    <w:tmpl w:val="80781E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D464CD5"/>
    <w:multiLevelType w:val="hybridMultilevel"/>
    <w:tmpl w:val="AD46F94E"/>
    <w:lvl w:ilvl="0" w:tplc="B0DA5088">
      <w:start w:val="6"/>
      <w:numFmt w:val="upperLetter"/>
      <w:lvlText w:val="%1."/>
      <w:lvlJc w:val="left"/>
      <w:pPr>
        <w:ind w:left="480" w:hanging="360"/>
      </w:pPr>
      <w:rPr>
        <w:rFonts w:ascii="Times New Roman" w:eastAsia="Times New Roman" w:hAnsi="Times New Roman" w:cs="Times New Roman" w:hint="default"/>
        <w:spacing w:val="-2"/>
        <w:w w:val="100"/>
        <w:sz w:val="24"/>
        <w:szCs w:val="24"/>
      </w:rPr>
    </w:lvl>
    <w:lvl w:ilvl="1" w:tplc="F98ADC3C">
      <w:numFmt w:val="bullet"/>
      <w:lvlText w:val="•"/>
      <w:lvlJc w:val="left"/>
      <w:pPr>
        <w:ind w:left="1392" w:hanging="360"/>
      </w:pPr>
      <w:rPr>
        <w:rFonts w:hint="default"/>
      </w:rPr>
    </w:lvl>
    <w:lvl w:ilvl="2" w:tplc="AD0E841C">
      <w:numFmt w:val="bullet"/>
      <w:lvlText w:val="•"/>
      <w:lvlJc w:val="left"/>
      <w:pPr>
        <w:ind w:left="2304" w:hanging="360"/>
      </w:pPr>
      <w:rPr>
        <w:rFonts w:hint="default"/>
      </w:rPr>
    </w:lvl>
    <w:lvl w:ilvl="3" w:tplc="A9E663A4">
      <w:numFmt w:val="bullet"/>
      <w:lvlText w:val="•"/>
      <w:lvlJc w:val="left"/>
      <w:pPr>
        <w:ind w:left="3216" w:hanging="360"/>
      </w:pPr>
      <w:rPr>
        <w:rFonts w:hint="default"/>
      </w:rPr>
    </w:lvl>
    <w:lvl w:ilvl="4" w:tplc="1AF0E57A">
      <w:numFmt w:val="bullet"/>
      <w:lvlText w:val="•"/>
      <w:lvlJc w:val="left"/>
      <w:pPr>
        <w:ind w:left="4128" w:hanging="360"/>
      </w:pPr>
      <w:rPr>
        <w:rFonts w:hint="default"/>
      </w:rPr>
    </w:lvl>
    <w:lvl w:ilvl="5" w:tplc="0E2ADB9A">
      <w:numFmt w:val="bullet"/>
      <w:lvlText w:val="•"/>
      <w:lvlJc w:val="left"/>
      <w:pPr>
        <w:ind w:left="5040" w:hanging="360"/>
      </w:pPr>
      <w:rPr>
        <w:rFonts w:hint="default"/>
      </w:rPr>
    </w:lvl>
    <w:lvl w:ilvl="6" w:tplc="3D5AF1D6">
      <w:numFmt w:val="bullet"/>
      <w:lvlText w:val="•"/>
      <w:lvlJc w:val="left"/>
      <w:pPr>
        <w:ind w:left="5952" w:hanging="360"/>
      </w:pPr>
      <w:rPr>
        <w:rFonts w:hint="default"/>
      </w:rPr>
    </w:lvl>
    <w:lvl w:ilvl="7" w:tplc="300A4E48">
      <w:numFmt w:val="bullet"/>
      <w:lvlText w:val="•"/>
      <w:lvlJc w:val="left"/>
      <w:pPr>
        <w:ind w:left="6864" w:hanging="360"/>
      </w:pPr>
      <w:rPr>
        <w:rFonts w:hint="default"/>
      </w:rPr>
    </w:lvl>
    <w:lvl w:ilvl="8" w:tplc="9252CACA">
      <w:numFmt w:val="bullet"/>
      <w:lvlText w:val="•"/>
      <w:lvlJc w:val="left"/>
      <w:pPr>
        <w:ind w:left="7776" w:hanging="360"/>
      </w:pPr>
      <w:rPr>
        <w:rFonts w:hint="default"/>
      </w:rPr>
    </w:lvl>
  </w:abstractNum>
  <w:abstractNum w:abstractNumId="6" w15:restartNumberingAfterBreak="0">
    <w:nsid w:val="217A7EF6"/>
    <w:multiLevelType w:val="hybridMultilevel"/>
    <w:tmpl w:val="0C4C08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5F4CB8"/>
    <w:multiLevelType w:val="hybridMultilevel"/>
    <w:tmpl w:val="15F00678"/>
    <w:lvl w:ilvl="0" w:tplc="97D8BC0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3A2940"/>
    <w:multiLevelType w:val="hybridMultilevel"/>
    <w:tmpl w:val="85440E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C0398"/>
    <w:multiLevelType w:val="hybridMultilevel"/>
    <w:tmpl w:val="208E694E"/>
    <w:lvl w:ilvl="0" w:tplc="8FC06110">
      <w:start w:val="3"/>
      <w:numFmt w:val="decimal"/>
      <w:lvlText w:val="%1."/>
      <w:lvlJc w:val="left"/>
      <w:pPr>
        <w:tabs>
          <w:tab w:val="num" w:pos="1800"/>
        </w:tabs>
        <w:ind w:left="1800"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941CC"/>
    <w:multiLevelType w:val="hybridMultilevel"/>
    <w:tmpl w:val="E5D47C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9D00CB"/>
    <w:multiLevelType w:val="hybridMultilevel"/>
    <w:tmpl w:val="7C789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0D69C5"/>
    <w:multiLevelType w:val="hybridMultilevel"/>
    <w:tmpl w:val="E21024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DF0CCD"/>
    <w:multiLevelType w:val="hybridMultilevel"/>
    <w:tmpl w:val="504496C8"/>
    <w:lvl w:ilvl="0" w:tplc="1BBAEDB2">
      <w:start w:val="1"/>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46517"/>
    <w:multiLevelType w:val="hybridMultilevel"/>
    <w:tmpl w:val="76228DAE"/>
    <w:lvl w:ilvl="0" w:tplc="04090019">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1224"/>
        </w:tabs>
        <w:ind w:left="1224" w:hanging="180"/>
      </w:pPr>
    </w:lvl>
    <w:lvl w:ilvl="3" w:tplc="31062B90">
      <w:start w:val="1"/>
      <w:numFmt w:val="decimal"/>
      <w:lvlText w:val="(%4)"/>
      <w:lvlJc w:val="left"/>
      <w:pPr>
        <w:tabs>
          <w:tab w:val="num" w:pos="1440"/>
        </w:tabs>
        <w:ind w:left="1440" w:hanging="360"/>
      </w:pPr>
      <w:rPr>
        <w:rFonts w:hint="default"/>
      </w:rPr>
    </w:lvl>
    <w:lvl w:ilvl="4" w:tplc="04090019">
      <w:start w:val="1"/>
      <w:numFmt w:val="lowerLetter"/>
      <w:lvlText w:val="%5."/>
      <w:lvlJc w:val="left"/>
      <w:pPr>
        <w:tabs>
          <w:tab w:val="num" w:pos="2664"/>
        </w:tabs>
        <w:ind w:left="2664" w:hanging="360"/>
      </w:pPr>
    </w:lvl>
    <w:lvl w:ilvl="5" w:tplc="0409001B">
      <w:start w:val="1"/>
      <w:numFmt w:val="lowerRoman"/>
      <w:lvlText w:val="%6."/>
      <w:lvlJc w:val="right"/>
      <w:pPr>
        <w:tabs>
          <w:tab w:val="num" w:pos="3384"/>
        </w:tabs>
        <w:ind w:left="3384" w:hanging="180"/>
      </w:pPr>
    </w:lvl>
    <w:lvl w:ilvl="6" w:tplc="0409000F" w:tentative="1">
      <w:start w:val="1"/>
      <w:numFmt w:val="decimal"/>
      <w:lvlText w:val="%7."/>
      <w:lvlJc w:val="left"/>
      <w:pPr>
        <w:tabs>
          <w:tab w:val="num" w:pos="4104"/>
        </w:tabs>
        <w:ind w:left="4104" w:hanging="360"/>
      </w:pPr>
    </w:lvl>
    <w:lvl w:ilvl="7" w:tplc="04090019" w:tentative="1">
      <w:start w:val="1"/>
      <w:numFmt w:val="lowerLetter"/>
      <w:lvlText w:val="%8."/>
      <w:lvlJc w:val="left"/>
      <w:pPr>
        <w:tabs>
          <w:tab w:val="num" w:pos="4824"/>
        </w:tabs>
        <w:ind w:left="4824" w:hanging="360"/>
      </w:pPr>
    </w:lvl>
    <w:lvl w:ilvl="8" w:tplc="0409001B" w:tentative="1">
      <w:start w:val="1"/>
      <w:numFmt w:val="lowerRoman"/>
      <w:lvlText w:val="%9."/>
      <w:lvlJc w:val="right"/>
      <w:pPr>
        <w:tabs>
          <w:tab w:val="num" w:pos="5544"/>
        </w:tabs>
        <w:ind w:left="5544" w:hanging="180"/>
      </w:pPr>
    </w:lvl>
  </w:abstractNum>
  <w:abstractNum w:abstractNumId="15" w15:restartNumberingAfterBreak="0">
    <w:nsid w:val="38DE5B40"/>
    <w:multiLevelType w:val="hybridMultilevel"/>
    <w:tmpl w:val="11A67E96"/>
    <w:lvl w:ilvl="0" w:tplc="E9E0C4BC">
      <w:start w:val="1"/>
      <w:numFmt w:val="upperRoman"/>
      <w:lvlText w:val="%1."/>
      <w:lvlJc w:val="left"/>
      <w:pPr>
        <w:ind w:left="839" w:hanging="7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6" w15:restartNumberingAfterBreak="0">
    <w:nsid w:val="3A976F6B"/>
    <w:multiLevelType w:val="hybridMultilevel"/>
    <w:tmpl w:val="28548DA2"/>
    <w:lvl w:ilvl="0" w:tplc="F11A0F9C">
      <w:start w:val="1"/>
      <w:numFmt w:val="decimal"/>
      <w:lvlText w:val="%1."/>
      <w:lvlJc w:val="left"/>
      <w:pPr>
        <w:ind w:left="480" w:hanging="360"/>
      </w:pPr>
      <w:rPr>
        <w:rFonts w:ascii="Times New Roman" w:eastAsia="Times New Roman" w:hAnsi="Times New Roman" w:cs="Times New Roman"/>
        <w:spacing w:val="-1"/>
        <w:w w:val="100"/>
        <w:sz w:val="24"/>
        <w:szCs w:val="24"/>
      </w:rPr>
    </w:lvl>
    <w:lvl w:ilvl="1" w:tplc="E864E0A6">
      <w:start w:val="1"/>
      <w:numFmt w:val="decimal"/>
      <w:lvlText w:val="%2."/>
      <w:lvlJc w:val="left"/>
      <w:pPr>
        <w:ind w:left="840" w:hanging="360"/>
      </w:pPr>
      <w:rPr>
        <w:rFonts w:ascii="Times New Roman" w:eastAsia="Times New Roman" w:hAnsi="Times New Roman" w:cs="Times New Roman" w:hint="default"/>
        <w:w w:val="100"/>
        <w:sz w:val="24"/>
        <w:szCs w:val="24"/>
      </w:rPr>
    </w:lvl>
    <w:lvl w:ilvl="2" w:tplc="C1209288">
      <w:start w:val="1"/>
      <w:numFmt w:val="lowerLetter"/>
      <w:lvlText w:val="%3."/>
      <w:lvlJc w:val="left"/>
      <w:pPr>
        <w:ind w:left="1200" w:hanging="360"/>
      </w:pPr>
      <w:rPr>
        <w:rFonts w:ascii="Times New Roman" w:eastAsia="Times New Roman" w:hAnsi="Times New Roman" w:cs="Times New Roman" w:hint="default"/>
        <w:spacing w:val="-1"/>
        <w:w w:val="100"/>
        <w:sz w:val="24"/>
        <w:szCs w:val="24"/>
      </w:rPr>
    </w:lvl>
    <w:lvl w:ilvl="3" w:tplc="CEAC5290">
      <w:numFmt w:val="bullet"/>
      <w:lvlText w:val="•"/>
      <w:lvlJc w:val="left"/>
      <w:pPr>
        <w:ind w:left="2250" w:hanging="360"/>
      </w:pPr>
      <w:rPr>
        <w:rFonts w:hint="default"/>
      </w:rPr>
    </w:lvl>
    <w:lvl w:ilvl="4" w:tplc="D7EAED58">
      <w:numFmt w:val="bullet"/>
      <w:lvlText w:val="•"/>
      <w:lvlJc w:val="left"/>
      <w:pPr>
        <w:ind w:left="3300" w:hanging="360"/>
      </w:pPr>
      <w:rPr>
        <w:rFonts w:hint="default"/>
      </w:rPr>
    </w:lvl>
    <w:lvl w:ilvl="5" w:tplc="05CA9110">
      <w:numFmt w:val="bullet"/>
      <w:lvlText w:val="•"/>
      <w:lvlJc w:val="left"/>
      <w:pPr>
        <w:ind w:left="4350" w:hanging="360"/>
      </w:pPr>
      <w:rPr>
        <w:rFonts w:hint="default"/>
      </w:rPr>
    </w:lvl>
    <w:lvl w:ilvl="6" w:tplc="BC88417C">
      <w:numFmt w:val="bullet"/>
      <w:lvlText w:val="•"/>
      <w:lvlJc w:val="left"/>
      <w:pPr>
        <w:ind w:left="5400" w:hanging="360"/>
      </w:pPr>
      <w:rPr>
        <w:rFonts w:hint="default"/>
      </w:rPr>
    </w:lvl>
    <w:lvl w:ilvl="7" w:tplc="C4E4DA44">
      <w:numFmt w:val="bullet"/>
      <w:lvlText w:val="•"/>
      <w:lvlJc w:val="left"/>
      <w:pPr>
        <w:ind w:left="6450" w:hanging="360"/>
      </w:pPr>
      <w:rPr>
        <w:rFonts w:hint="default"/>
      </w:rPr>
    </w:lvl>
    <w:lvl w:ilvl="8" w:tplc="F9AA8C76">
      <w:numFmt w:val="bullet"/>
      <w:lvlText w:val="•"/>
      <w:lvlJc w:val="left"/>
      <w:pPr>
        <w:ind w:left="7500" w:hanging="360"/>
      </w:pPr>
      <w:rPr>
        <w:rFonts w:hint="default"/>
      </w:rPr>
    </w:lvl>
  </w:abstractNum>
  <w:abstractNum w:abstractNumId="17" w15:restartNumberingAfterBreak="0">
    <w:nsid w:val="3B3058ED"/>
    <w:multiLevelType w:val="hybridMultilevel"/>
    <w:tmpl w:val="95FC586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2F03874"/>
    <w:multiLevelType w:val="hybridMultilevel"/>
    <w:tmpl w:val="CEDA0D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AC328C"/>
    <w:multiLevelType w:val="hybridMultilevel"/>
    <w:tmpl w:val="D042F5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94672F"/>
    <w:multiLevelType w:val="hybridMultilevel"/>
    <w:tmpl w:val="88CEC62E"/>
    <w:lvl w:ilvl="0" w:tplc="6E6E07A2">
      <w:start w:val="1"/>
      <w:numFmt w:val="decimal"/>
      <w:lvlText w:val="%1."/>
      <w:lvlJc w:val="left"/>
      <w:pPr>
        <w:ind w:left="840" w:hanging="360"/>
      </w:pPr>
      <w:rPr>
        <w:rFonts w:ascii="Times New Roman" w:eastAsia="Times New Roman" w:hAnsi="Times New Roman" w:cs="Times New Roman" w:hint="default"/>
        <w:w w:val="100"/>
        <w:sz w:val="24"/>
        <w:szCs w:val="24"/>
      </w:rPr>
    </w:lvl>
    <w:lvl w:ilvl="1" w:tplc="3D06A0D2">
      <w:numFmt w:val="bullet"/>
      <w:lvlText w:val="•"/>
      <w:lvlJc w:val="left"/>
      <w:pPr>
        <w:ind w:left="1716" w:hanging="360"/>
      </w:pPr>
      <w:rPr>
        <w:rFonts w:hint="default"/>
      </w:rPr>
    </w:lvl>
    <w:lvl w:ilvl="2" w:tplc="10F010C0">
      <w:numFmt w:val="bullet"/>
      <w:lvlText w:val="•"/>
      <w:lvlJc w:val="left"/>
      <w:pPr>
        <w:ind w:left="2592" w:hanging="360"/>
      </w:pPr>
      <w:rPr>
        <w:rFonts w:hint="default"/>
      </w:rPr>
    </w:lvl>
    <w:lvl w:ilvl="3" w:tplc="10A87EC0">
      <w:numFmt w:val="bullet"/>
      <w:lvlText w:val="•"/>
      <w:lvlJc w:val="left"/>
      <w:pPr>
        <w:ind w:left="3468" w:hanging="360"/>
      </w:pPr>
      <w:rPr>
        <w:rFonts w:hint="default"/>
      </w:rPr>
    </w:lvl>
    <w:lvl w:ilvl="4" w:tplc="EDA6BCDC">
      <w:numFmt w:val="bullet"/>
      <w:lvlText w:val="•"/>
      <w:lvlJc w:val="left"/>
      <w:pPr>
        <w:ind w:left="4344" w:hanging="360"/>
      </w:pPr>
      <w:rPr>
        <w:rFonts w:hint="default"/>
      </w:rPr>
    </w:lvl>
    <w:lvl w:ilvl="5" w:tplc="B3A2E942">
      <w:numFmt w:val="bullet"/>
      <w:lvlText w:val="•"/>
      <w:lvlJc w:val="left"/>
      <w:pPr>
        <w:ind w:left="5220" w:hanging="360"/>
      </w:pPr>
      <w:rPr>
        <w:rFonts w:hint="default"/>
      </w:rPr>
    </w:lvl>
    <w:lvl w:ilvl="6" w:tplc="4C920580">
      <w:numFmt w:val="bullet"/>
      <w:lvlText w:val="•"/>
      <w:lvlJc w:val="left"/>
      <w:pPr>
        <w:ind w:left="6096" w:hanging="360"/>
      </w:pPr>
      <w:rPr>
        <w:rFonts w:hint="default"/>
      </w:rPr>
    </w:lvl>
    <w:lvl w:ilvl="7" w:tplc="8306E754">
      <w:numFmt w:val="bullet"/>
      <w:lvlText w:val="•"/>
      <w:lvlJc w:val="left"/>
      <w:pPr>
        <w:ind w:left="6972" w:hanging="360"/>
      </w:pPr>
      <w:rPr>
        <w:rFonts w:hint="default"/>
      </w:rPr>
    </w:lvl>
    <w:lvl w:ilvl="8" w:tplc="3A4AB9B0">
      <w:numFmt w:val="bullet"/>
      <w:lvlText w:val="•"/>
      <w:lvlJc w:val="left"/>
      <w:pPr>
        <w:ind w:left="7848" w:hanging="360"/>
      </w:pPr>
      <w:rPr>
        <w:rFonts w:hint="default"/>
      </w:rPr>
    </w:lvl>
  </w:abstractNum>
  <w:abstractNum w:abstractNumId="21" w15:restartNumberingAfterBreak="0">
    <w:nsid w:val="5B9A7728"/>
    <w:multiLevelType w:val="hybridMultilevel"/>
    <w:tmpl w:val="26C237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B45974"/>
    <w:multiLevelType w:val="multilevel"/>
    <w:tmpl w:val="0409001D"/>
    <w:lvl w:ilvl="0">
      <w:start w:val="1"/>
      <w:numFmt w:val="decimal"/>
      <w:lvlText w:val="%1)"/>
      <w:lvlJc w:val="left"/>
      <w:pPr>
        <w:ind w:left="360" w:hanging="360"/>
      </w:pPr>
      <w:rPr>
        <w:rFonts w:hint="default"/>
        <w:b w:val="0"/>
        <w:i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497494D"/>
    <w:multiLevelType w:val="hybridMultilevel"/>
    <w:tmpl w:val="80781E54"/>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4" w15:restartNumberingAfterBreak="0">
    <w:nsid w:val="65745095"/>
    <w:multiLevelType w:val="hybridMultilevel"/>
    <w:tmpl w:val="5AC83EFA"/>
    <w:lvl w:ilvl="0" w:tplc="FFFFFFFF">
      <w:start w:val="1"/>
      <w:numFmt w:val="decimal"/>
      <w:lvlText w:val="%1."/>
      <w:lvlJc w:val="left"/>
      <w:pPr>
        <w:ind w:left="1800" w:hanging="360"/>
      </w:pPr>
    </w:lvl>
    <w:lvl w:ilvl="1" w:tplc="69068F52">
      <w:start w:val="1"/>
      <w:numFmt w:val="upp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6C457027"/>
    <w:multiLevelType w:val="hybridMultilevel"/>
    <w:tmpl w:val="B5F293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5305CF"/>
    <w:multiLevelType w:val="hybridMultilevel"/>
    <w:tmpl w:val="E6C6D1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0984BDE"/>
    <w:multiLevelType w:val="hybridMultilevel"/>
    <w:tmpl w:val="84A2E0EE"/>
    <w:lvl w:ilvl="0" w:tplc="9E0A7758">
      <w:start w:val="1"/>
      <w:numFmt w:val="decimal"/>
      <w:lvlText w:val="%1."/>
      <w:lvlJc w:val="left"/>
      <w:pPr>
        <w:ind w:left="840" w:hanging="360"/>
      </w:pPr>
      <w:rPr>
        <w:rFonts w:ascii="Times New Roman" w:eastAsia="Times New Roman" w:hAnsi="Times New Roman" w:cs="Times New Roman" w:hint="default"/>
        <w:w w:val="100"/>
        <w:sz w:val="24"/>
        <w:szCs w:val="24"/>
      </w:rPr>
    </w:lvl>
    <w:lvl w:ilvl="1" w:tplc="C8D42554">
      <w:start w:val="1"/>
      <w:numFmt w:val="lowerLetter"/>
      <w:lvlText w:val="%2."/>
      <w:lvlJc w:val="left"/>
      <w:pPr>
        <w:ind w:left="1200" w:hanging="360"/>
      </w:pPr>
      <w:rPr>
        <w:rFonts w:ascii="Times New Roman" w:eastAsia="Times New Roman" w:hAnsi="Times New Roman" w:cs="Times New Roman" w:hint="default"/>
        <w:spacing w:val="-1"/>
        <w:w w:val="100"/>
        <w:sz w:val="24"/>
        <w:szCs w:val="24"/>
      </w:rPr>
    </w:lvl>
    <w:lvl w:ilvl="2" w:tplc="74BCCFF6">
      <w:start w:val="1"/>
      <w:numFmt w:val="decimal"/>
      <w:lvlText w:val="(%3)"/>
      <w:lvlJc w:val="left"/>
      <w:pPr>
        <w:ind w:left="1560" w:hanging="360"/>
      </w:pPr>
      <w:rPr>
        <w:rFonts w:ascii="Times New Roman" w:eastAsia="Times New Roman" w:hAnsi="Times New Roman" w:cs="Times New Roman" w:hint="default"/>
        <w:spacing w:val="-1"/>
        <w:w w:val="100"/>
        <w:sz w:val="24"/>
        <w:szCs w:val="24"/>
      </w:rPr>
    </w:lvl>
    <w:lvl w:ilvl="3" w:tplc="B4A013CC">
      <w:numFmt w:val="bullet"/>
      <w:lvlText w:val="•"/>
      <w:lvlJc w:val="left"/>
      <w:pPr>
        <w:ind w:left="2565" w:hanging="360"/>
      </w:pPr>
      <w:rPr>
        <w:rFonts w:hint="default"/>
      </w:rPr>
    </w:lvl>
    <w:lvl w:ilvl="4" w:tplc="C8D66398">
      <w:numFmt w:val="bullet"/>
      <w:lvlText w:val="•"/>
      <w:lvlJc w:val="left"/>
      <w:pPr>
        <w:ind w:left="3570" w:hanging="360"/>
      </w:pPr>
      <w:rPr>
        <w:rFonts w:hint="default"/>
      </w:rPr>
    </w:lvl>
    <w:lvl w:ilvl="5" w:tplc="23D60DFC">
      <w:numFmt w:val="bullet"/>
      <w:lvlText w:val="•"/>
      <w:lvlJc w:val="left"/>
      <w:pPr>
        <w:ind w:left="4575" w:hanging="360"/>
      </w:pPr>
      <w:rPr>
        <w:rFonts w:hint="default"/>
      </w:rPr>
    </w:lvl>
    <w:lvl w:ilvl="6" w:tplc="D0D8A756">
      <w:numFmt w:val="bullet"/>
      <w:lvlText w:val="•"/>
      <w:lvlJc w:val="left"/>
      <w:pPr>
        <w:ind w:left="5580" w:hanging="360"/>
      </w:pPr>
      <w:rPr>
        <w:rFonts w:hint="default"/>
      </w:rPr>
    </w:lvl>
    <w:lvl w:ilvl="7" w:tplc="16C270B6">
      <w:numFmt w:val="bullet"/>
      <w:lvlText w:val="•"/>
      <w:lvlJc w:val="left"/>
      <w:pPr>
        <w:ind w:left="6585" w:hanging="360"/>
      </w:pPr>
      <w:rPr>
        <w:rFonts w:hint="default"/>
      </w:rPr>
    </w:lvl>
    <w:lvl w:ilvl="8" w:tplc="8D4AF056">
      <w:numFmt w:val="bullet"/>
      <w:lvlText w:val="•"/>
      <w:lvlJc w:val="left"/>
      <w:pPr>
        <w:ind w:left="7590" w:hanging="360"/>
      </w:pPr>
      <w:rPr>
        <w:rFonts w:hint="default"/>
      </w:rPr>
    </w:lvl>
  </w:abstractNum>
  <w:abstractNum w:abstractNumId="28" w15:restartNumberingAfterBreak="0">
    <w:nsid w:val="70C74D0D"/>
    <w:multiLevelType w:val="hybridMultilevel"/>
    <w:tmpl w:val="5914C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057232"/>
    <w:multiLevelType w:val="hybridMultilevel"/>
    <w:tmpl w:val="3AA64D0E"/>
    <w:lvl w:ilvl="0" w:tplc="04090015">
      <w:start w:val="1"/>
      <w:numFmt w:val="upperLetter"/>
      <w:lvlText w:val="%1."/>
      <w:lvlJc w:val="left"/>
      <w:pPr>
        <w:ind w:left="839" w:hanging="360"/>
      </w:pPr>
    </w:lvl>
    <w:lvl w:ilvl="1" w:tplc="04090015">
      <w:start w:val="1"/>
      <w:numFmt w:val="upperLetter"/>
      <w:lvlText w:val="%2."/>
      <w:lvlJc w:val="left"/>
      <w:pPr>
        <w:ind w:left="1559" w:hanging="360"/>
      </w:pPr>
    </w:lvl>
    <w:lvl w:ilvl="2" w:tplc="9C783996">
      <w:start w:val="1"/>
      <w:numFmt w:val="lowerLetter"/>
      <w:lvlText w:val="%3)"/>
      <w:lvlJc w:val="left"/>
      <w:pPr>
        <w:ind w:left="2459" w:hanging="360"/>
      </w:pPr>
      <w:rPr>
        <w:rFonts w:hint="default"/>
      </w:r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30" w15:restartNumberingAfterBreak="0">
    <w:nsid w:val="7CF0472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color w:val="auto"/>
        <w:u w:val="no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E4452E3"/>
    <w:multiLevelType w:val="hybridMultilevel"/>
    <w:tmpl w:val="15EA17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F2045F4"/>
    <w:multiLevelType w:val="hybridMultilevel"/>
    <w:tmpl w:val="B262028E"/>
    <w:lvl w:ilvl="0" w:tplc="0409000F">
      <w:start w:val="1"/>
      <w:numFmt w:val="decimal"/>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num w:numId="1" w16cid:durableId="1772050245">
    <w:abstractNumId w:val="20"/>
  </w:num>
  <w:num w:numId="2" w16cid:durableId="1127774833">
    <w:abstractNumId w:val="27"/>
  </w:num>
  <w:num w:numId="3" w16cid:durableId="1129662260">
    <w:abstractNumId w:val="5"/>
  </w:num>
  <w:num w:numId="4" w16cid:durableId="893352271">
    <w:abstractNumId w:val="16"/>
  </w:num>
  <w:num w:numId="5" w16cid:durableId="782384284">
    <w:abstractNumId w:val="15"/>
  </w:num>
  <w:num w:numId="6" w16cid:durableId="1565337512">
    <w:abstractNumId w:val="7"/>
  </w:num>
  <w:num w:numId="7" w16cid:durableId="368843181">
    <w:abstractNumId w:val="3"/>
  </w:num>
  <w:num w:numId="8" w16cid:durableId="1716585651">
    <w:abstractNumId w:val="1"/>
  </w:num>
  <w:num w:numId="9" w16cid:durableId="805440055">
    <w:abstractNumId w:val="4"/>
  </w:num>
  <w:num w:numId="10" w16cid:durableId="1567914732">
    <w:abstractNumId w:val="23"/>
  </w:num>
  <w:num w:numId="11" w16cid:durableId="636883674">
    <w:abstractNumId w:val="24"/>
  </w:num>
  <w:num w:numId="12" w16cid:durableId="929852179">
    <w:abstractNumId w:val="13"/>
  </w:num>
  <w:num w:numId="13" w16cid:durableId="494878524">
    <w:abstractNumId w:val="12"/>
  </w:num>
  <w:num w:numId="14" w16cid:durableId="1408840458">
    <w:abstractNumId w:val="18"/>
  </w:num>
  <w:num w:numId="15" w16cid:durableId="805119949">
    <w:abstractNumId w:val="0"/>
  </w:num>
  <w:num w:numId="16" w16cid:durableId="697464352">
    <w:abstractNumId w:val="25"/>
  </w:num>
  <w:num w:numId="17" w16cid:durableId="361057218">
    <w:abstractNumId w:val="6"/>
  </w:num>
  <w:num w:numId="18" w16cid:durableId="1684362742">
    <w:abstractNumId w:val="32"/>
  </w:num>
  <w:num w:numId="19" w16cid:durableId="257716815">
    <w:abstractNumId w:val="2"/>
  </w:num>
  <w:num w:numId="20" w16cid:durableId="1737969767">
    <w:abstractNumId w:val="17"/>
  </w:num>
  <w:num w:numId="21" w16cid:durableId="647326107">
    <w:abstractNumId w:val="8"/>
  </w:num>
  <w:num w:numId="22" w16cid:durableId="963729355">
    <w:abstractNumId w:val="19"/>
  </w:num>
  <w:num w:numId="23" w16cid:durableId="1529296735">
    <w:abstractNumId w:val="31"/>
  </w:num>
  <w:num w:numId="24" w16cid:durableId="1858887975">
    <w:abstractNumId w:val="21"/>
  </w:num>
  <w:num w:numId="25" w16cid:durableId="1679648330">
    <w:abstractNumId w:val="26"/>
  </w:num>
  <w:num w:numId="26" w16cid:durableId="2046055793">
    <w:abstractNumId w:val="10"/>
  </w:num>
  <w:num w:numId="27" w16cid:durableId="1565488966">
    <w:abstractNumId w:val="29"/>
  </w:num>
  <w:num w:numId="28" w16cid:durableId="294987450">
    <w:abstractNumId w:val="28"/>
  </w:num>
  <w:num w:numId="29" w16cid:durableId="367755038">
    <w:abstractNumId w:val="30"/>
  </w:num>
  <w:num w:numId="30" w16cid:durableId="1671904960">
    <w:abstractNumId w:val="22"/>
  </w:num>
  <w:num w:numId="31" w16cid:durableId="294875621">
    <w:abstractNumId w:val="14"/>
  </w:num>
  <w:num w:numId="32" w16cid:durableId="228200479">
    <w:abstractNumId w:val="9"/>
  </w:num>
  <w:num w:numId="33" w16cid:durableId="11415349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150"/>
    <w:rsid w:val="0001346C"/>
    <w:rsid w:val="00057618"/>
    <w:rsid w:val="00063817"/>
    <w:rsid w:val="000836BC"/>
    <w:rsid w:val="000A6A6B"/>
    <w:rsid w:val="000A7A81"/>
    <w:rsid w:val="00136280"/>
    <w:rsid w:val="0015435D"/>
    <w:rsid w:val="00157831"/>
    <w:rsid w:val="00166831"/>
    <w:rsid w:val="00186CD8"/>
    <w:rsid w:val="001B072C"/>
    <w:rsid w:val="001E6A1E"/>
    <w:rsid w:val="001F6727"/>
    <w:rsid w:val="001F6D27"/>
    <w:rsid w:val="00216755"/>
    <w:rsid w:val="0023538D"/>
    <w:rsid w:val="00256FE7"/>
    <w:rsid w:val="00275641"/>
    <w:rsid w:val="002A0A68"/>
    <w:rsid w:val="002C5C6D"/>
    <w:rsid w:val="002C62D0"/>
    <w:rsid w:val="00312532"/>
    <w:rsid w:val="00315B18"/>
    <w:rsid w:val="003445F8"/>
    <w:rsid w:val="00351838"/>
    <w:rsid w:val="00352D5B"/>
    <w:rsid w:val="003547F9"/>
    <w:rsid w:val="00370341"/>
    <w:rsid w:val="00383C0C"/>
    <w:rsid w:val="003C29F7"/>
    <w:rsid w:val="003C69F4"/>
    <w:rsid w:val="003F28D6"/>
    <w:rsid w:val="003F5AFF"/>
    <w:rsid w:val="004127F2"/>
    <w:rsid w:val="004138B3"/>
    <w:rsid w:val="00414483"/>
    <w:rsid w:val="00423845"/>
    <w:rsid w:val="00424618"/>
    <w:rsid w:val="00452CDB"/>
    <w:rsid w:val="004712D3"/>
    <w:rsid w:val="005028D1"/>
    <w:rsid w:val="00511C5F"/>
    <w:rsid w:val="00516F30"/>
    <w:rsid w:val="005426E2"/>
    <w:rsid w:val="0055542D"/>
    <w:rsid w:val="00571281"/>
    <w:rsid w:val="00572D6B"/>
    <w:rsid w:val="00572FA5"/>
    <w:rsid w:val="005C1012"/>
    <w:rsid w:val="005C3826"/>
    <w:rsid w:val="005C6EBD"/>
    <w:rsid w:val="00614F82"/>
    <w:rsid w:val="00637A24"/>
    <w:rsid w:val="00697150"/>
    <w:rsid w:val="006A513C"/>
    <w:rsid w:val="006E1276"/>
    <w:rsid w:val="006E21D6"/>
    <w:rsid w:val="00702737"/>
    <w:rsid w:val="00707745"/>
    <w:rsid w:val="007652BA"/>
    <w:rsid w:val="007772AA"/>
    <w:rsid w:val="00791ECA"/>
    <w:rsid w:val="007B0C4D"/>
    <w:rsid w:val="0084336E"/>
    <w:rsid w:val="00843EE7"/>
    <w:rsid w:val="00847B34"/>
    <w:rsid w:val="008666A6"/>
    <w:rsid w:val="008677A7"/>
    <w:rsid w:val="008752CB"/>
    <w:rsid w:val="008C13B5"/>
    <w:rsid w:val="008D43FD"/>
    <w:rsid w:val="00910DF8"/>
    <w:rsid w:val="009408E2"/>
    <w:rsid w:val="00965443"/>
    <w:rsid w:val="00977B73"/>
    <w:rsid w:val="00992C6A"/>
    <w:rsid w:val="009B68EB"/>
    <w:rsid w:val="009D407C"/>
    <w:rsid w:val="009E1B65"/>
    <w:rsid w:val="00A16DAF"/>
    <w:rsid w:val="00A5407A"/>
    <w:rsid w:val="00A812AA"/>
    <w:rsid w:val="00AC22DF"/>
    <w:rsid w:val="00AC5D71"/>
    <w:rsid w:val="00B317C4"/>
    <w:rsid w:val="00B43E32"/>
    <w:rsid w:val="00B63978"/>
    <w:rsid w:val="00B74364"/>
    <w:rsid w:val="00B77D8A"/>
    <w:rsid w:val="00B80B77"/>
    <w:rsid w:val="00B84245"/>
    <w:rsid w:val="00B94D00"/>
    <w:rsid w:val="00B951A4"/>
    <w:rsid w:val="00BD5425"/>
    <w:rsid w:val="00BE7E1A"/>
    <w:rsid w:val="00C44B58"/>
    <w:rsid w:val="00C65CBC"/>
    <w:rsid w:val="00C8666A"/>
    <w:rsid w:val="00CD63B6"/>
    <w:rsid w:val="00CF3400"/>
    <w:rsid w:val="00D30EF2"/>
    <w:rsid w:val="00D358CC"/>
    <w:rsid w:val="00D551E4"/>
    <w:rsid w:val="00D73066"/>
    <w:rsid w:val="00DA4F1A"/>
    <w:rsid w:val="00DB1E15"/>
    <w:rsid w:val="00DE706A"/>
    <w:rsid w:val="00E035D1"/>
    <w:rsid w:val="00E479DD"/>
    <w:rsid w:val="00E47E4C"/>
    <w:rsid w:val="00E9375F"/>
    <w:rsid w:val="00ED0B31"/>
    <w:rsid w:val="00EE4EA6"/>
    <w:rsid w:val="00EF59D2"/>
    <w:rsid w:val="00EF6ED0"/>
    <w:rsid w:val="00FB5B54"/>
    <w:rsid w:val="00FC0268"/>
    <w:rsid w:val="00FF0D6C"/>
    <w:rsid w:val="00FF42FD"/>
    <w:rsid w:val="00FF7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0A84A"/>
  <w15:docId w15:val="{0144BFAC-D450-4103-B81C-D9F3AE9C8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39"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84245"/>
    <w:pPr>
      <w:tabs>
        <w:tab w:val="center" w:pos="4680"/>
        <w:tab w:val="right" w:pos="9360"/>
      </w:tabs>
    </w:pPr>
  </w:style>
  <w:style w:type="character" w:customStyle="1" w:styleId="HeaderChar">
    <w:name w:val="Header Char"/>
    <w:basedOn w:val="DefaultParagraphFont"/>
    <w:link w:val="Header"/>
    <w:uiPriority w:val="99"/>
    <w:rsid w:val="00B84245"/>
    <w:rPr>
      <w:rFonts w:ascii="Times New Roman" w:eastAsia="Times New Roman" w:hAnsi="Times New Roman" w:cs="Times New Roman"/>
    </w:rPr>
  </w:style>
  <w:style w:type="paragraph" w:styleId="Footer">
    <w:name w:val="footer"/>
    <w:basedOn w:val="Normal"/>
    <w:link w:val="FooterChar"/>
    <w:uiPriority w:val="99"/>
    <w:unhideWhenUsed/>
    <w:rsid w:val="00B84245"/>
    <w:pPr>
      <w:tabs>
        <w:tab w:val="center" w:pos="4680"/>
        <w:tab w:val="right" w:pos="9360"/>
      </w:tabs>
    </w:pPr>
  </w:style>
  <w:style w:type="character" w:customStyle="1" w:styleId="FooterChar">
    <w:name w:val="Footer Char"/>
    <w:basedOn w:val="DefaultParagraphFont"/>
    <w:link w:val="Footer"/>
    <w:uiPriority w:val="99"/>
    <w:rsid w:val="00B84245"/>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637A24"/>
    <w:rPr>
      <w:sz w:val="16"/>
      <w:szCs w:val="16"/>
    </w:rPr>
  </w:style>
  <w:style w:type="paragraph" w:styleId="CommentText">
    <w:name w:val="annotation text"/>
    <w:basedOn w:val="Normal"/>
    <w:link w:val="CommentTextChar"/>
    <w:uiPriority w:val="99"/>
    <w:unhideWhenUsed/>
    <w:rsid w:val="00637A24"/>
    <w:rPr>
      <w:sz w:val="20"/>
      <w:szCs w:val="20"/>
    </w:rPr>
  </w:style>
  <w:style w:type="character" w:customStyle="1" w:styleId="CommentTextChar">
    <w:name w:val="Comment Text Char"/>
    <w:basedOn w:val="DefaultParagraphFont"/>
    <w:link w:val="CommentText"/>
    <w:uiPriority w:val="99"/>
    <w:rsid w:val="00637A2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7A24"/>
    <w:rPr>
      <w:b/>
      <w:bCs/>
    </w:rPr>
  </w:style>
  <w:style w:type="character" w:customStyle="1" w:styleId="CommentSubjectChar">
    <w:name w:val="Comment Subject Char"/>
    <w:basedOn w:val="CommentTextChar"/>
    <w:link w:val="CommentSubject"/>
    <w:uiPriority w:val="99"/>
    <w:semiHidden/>
    <w:rsid w:val="00637A24"/>
    <w:rPr>
      <w:rFonts w:ascii="Times New Roman" w:eastAsia="Times New Roman" w:hAnsi="Times New Roman" w:cs="Times New Roman"/>
      <w:b/>
      <w:bCs/>
      <w:sz w:val="20"/>
      <w:szCs w:val="20"/>
    </w:rPr>
  </w:style>
  <w:style w:type="paragraph" w:styleId="Revision">
    <w:name w:val="Revision"/>
    <w:hidden/>
    <w:uiPriority w:val="99"/>
    <w:semiHidden/>
    <w:rsid w:val="009D407C"/>
    <w:pPr>
      <w:widowControl/>
      <w:autoSpaceDE/>
      <w:autoSpaceDN/>
    </w:pPr>
    <w:rPr>
      <w:rFonts w:ascii="Times New Roman" w:eastAsia="Times New Roman" w:hAnsi="Times New Roman" w:cs="Times New Roman"/>
    </w:rPr>
  </w:style>
  <w:style w:type="character" w:styleId="Hyperlink">
    <w:name w:val="Hyperlink"/>
    <w:basedOn w:val="DefaultParagraphFont"/>
    <w:uiPriority w:val="99"/>
    <w:unhideWhenUsed/>
    <w:rsid w:val="005426E2"/>
    <w:rPr>
      <w:color w:val="0000FF" w:themeColor="hyperlink"/>
      <w:u w:val="single"/>
    </w:rPr>
  </w:style>
  <w:style w:type="character" w:styleId="UnresolvedMention">
    <w:name w:val="Unresolved Mention"/>
    <w:basedOn w:val="DefaultParagraphFont"/>
    <w:uiPriority w:val="99"/>
    <w:semiHidden/>
    <w:unhideWhenUsed/>
    <w:rsid w:val="005426E2"/>
    <w:rPr>
      <w:color w:val="605E5C"/>
      <w:shd w:val="clear" w:color="auto" w:fill="E1DFDD"/>
    </w:rPr>
  </w:style>
  <w:style w:type="character" w:customStyle="1" w:styleId="BodyTextChar">
    <w:name w:val="Body Text Char"/>
    <w:basedOn w:val="DefaultParagraphFont"/>
    <w:link w:val="BodyText"/>
    <w:uiPriority w:val="1"/>
    <w:rsid w:val="00B94D0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resources.hhs.texas.gov/rfa/hhs001421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hcontracts@hhsc.state.tx.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ources.hhs.texas.gov/rfa/hhs001421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sources.hhs.texas.gov/rfa/hhs0014211" TargetMode="External"/><Relationship Id="rId4" Type="http://schemas.openxmlformats.org/officeDocument/2006/relationships/settings" Target="settings.xml"/><Relationship Id="rId9" Type="http://schemas.openxmlformats.org/officeDocument/2006/relationships/hyperlink" Target="https://resources.hhs.texas.gov/rfa/hhs001421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6123A-1D9A-4335-8E18-AEB5EE929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1631</Words>
  <Characters>9303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Betty Hardwick Center LMHAPA FY22 $13,558,190_HHS001022200001.pdf</vt:lpstr>
    </vt:vector>
  </TitlesOfParts>
  <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Betty Hardwick Center LMHAPA FY22 $13,558,190_HHS001022200001.pdf</dc:title>
  <dc:creator>ACraft01</dc:creator>
  <cp:lastModifiedBy>Williams,Dedra (HHSC)</cp:lastModifiedBy>
  <cp:revision>8</cp:revision>
  <dcterms:created xsi:type="dcterms:W3CDTF">2024-04-09T20:42:00Z</dcterms:created>
  <dcterms:modified xsi:type="dcterms:W3CDTF">2024-04-22T15:20:00Z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LastSaved">
    <vt:filetime>2024-02-03T00:00:00Z</vt:filetime>
  </property>
</Properties>
</file>