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FF45" w14:textId="77777777" w:rsidR="002E499D" w:rsidRDefault="002E499D" w:rsidP="0056050B">
      <w:pPr>
        <w:jc w:val="center"/>
        <w:rPr>
          <w:rStyle w:val="Strong"/>
          <w:rFonts w:ascii="Verdana" w:hAnsi="Verdana"/>
          <w:color w:val="000000"/>
          <w:sz w:val="24"/>
          <w:szCs w:val="24"/>
        </w:rPr>
      </w:pPr>
    </w:p>
    <w:p w14:paraId="7E77ABEF" w14:textId="77777777" w:rsidR="002E499D" w:rsidRDefault="002E499D" w:rsidP="0056050B">
      <w:pPr>
        <w:jc w:val="center"/>
        <w:rPr>
          <w:rStyle w:val="Strong"/>
          <w:rFonts w:ascii="Verdana" w:hAnsi="Verdana"/>
          <w:color w:val="000000"/>
          <w:sz w:val="24"/>
          <w:szCs w:val="24"/>
        </w:rPr>
      </w:pPr>
    </w:p>
    <w:p w14:paraId="769C3BEC" w14:textId="77777777" w:rsidR="002E499D" w:rsidRDefault="002E499D" w:rsidP="0056050B">
      <w:pPr>
        <w:jc w:val="center"/>
        <w:rPr>
          <w:rStyle w:val="Strong"/>
          <w:rFonts w:ascii="Verdana" w:hAnsi="Verdana"/>
          <w:color w:val="000000"/>
          <w:sz w:val="24"/>
          <w:szCs w:val="24"/>
        </w:rPr>
      </w:pPr>
    </w:p>
    <w:p w14:paraId="4C9F42A5" w14:textId="500BFAAA" w:rsidR="0056050B" w:rsidRDefault="002E499D" w:rsidP="0056050B">
      <w:pPr>
        <w:jc w:val="center"/>
        <w:rPr>
          <w:rFonts w:ascii="Verdana" w:hAnsi="Verdana"/>
          <w:color w:val="000000"/>
          <w:sz w:val="24"/>
          <w:szCs w:val="24"/>
        </w:rPr>
      </w:pPr>
      <w:r>
        <w:rPr>
          <w:rStyle w:val="Strong"/>
          <w:rFonts w:ascii="Verdana" w:hAnsi="Verdana"/>
          <w:color w:val="000000"/>
          <w:sz w:val="24"/>
          <w:szCs w:val="24"/>
        </w:rPr>
        <w:t>Attachment K-1, One Time Start-up Costs</w:t>
      </w:r>
      <w:r w:rsidR="0056050B">
        <w:rPr>
          <w:rStyle w:val="Strong"/>
          <w:rFonts w:ascii="Verdana" w:hAnsi="Verdana"/>
          <w:color w:val="000000"/>
          <w:sz w:val="24"/>
          <w:szCs w:val="24"/>
        </w:rPr>
        <w:t xml:space="preserve"> </w:t>
      </w:r>
    </w:p>
    <w:p w14:paraId="14CC8936" w14:textId="77777777" w:rsidR="0056050B" w:rsidRDefault="0056050B" w:rsidP="0056050B">
      <w:pPr>
        <w:jc w:val="center"/>
        <w:rPr>
          <w:rFonts w:ascii="Verdana" w:hAnsi="Verdana"/>
          <w:color w:val="000000"/>
          <w:sz w:val="24"/>
          <w:szCs w:val="24"/>
        </w:rPr>
      </w:pPr>
      <w:r>
        <w:rPr>
          <w:rStyle w:val="Strong"/>
          <w:rFonts w:ascii="Verdana" w:hAnsi="Verdana"/>
          <w:color w:val="1F497D"/>
          <w:sz w:val="24"/>
          <w:szCs w:val="24"/>
        </w:rPr>
        <w:t> </w:t>
      </w:r>
    </w:p>
    <w:p w14:paraId="05B8AB39" w14:textId="1C6BA419" w:rsidR="0056050B" w:rsidRDefault="0056050B" w:rsidP="0056050B">
      <w:pPr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1F1F1F"/>
          <w:sz w:val="24"/>
          <w:szCs w:val="24"/>
        </w:rPr>
        <w:t>Initiating a grant-funded project requires efficient mobilization and resource acquisition. Understanding allowable start-up costs, as defined by federal agency guidance (2 CFR 200) and the Texas Grant Management Standards (TGMS</w:t>
      </w:r>
      <w:r w:rsidR="003A1EB1">
        <w:rPr>
          <w:rFonts w:ascii="Verdana" w:hAnsi="Verdana"/>
          <w:color w:val="1F1F1F"/>
          <w:sz w:val="24"/>
          <w:szCs w:val="24"/>
        </w:rPr>
        <w:t xml:space="preserve"> v1.1</w:t>
      </w:r>
      <w:r>
        <w:rPr>
          <w:rFonts w:ascii="Verdana" w:hAnsi="Verdana"/>
          <w:color w:val="1F1F1F"/>
          <w:sz w:val="24"/>
          <w:szCs w:val="24"/>
        </w:rPr>
        <w:t>), is crucial for a successful project launch. This guidance ensures responsible use of grant funds while enabling essential project activities to commence.</w:t>
      </w:r>
    </w:p>
    <w:p w14:paraId="188D4B94" w14:textId="77777777" w:rsidR="0056050B" w:rsidRDefault="0056050B" w:rsidP="0056050B">
      <w:pPr>
        <w:rPr>
          <w:rFonts w:ascii="Verdana" w:hAnsi="Verdana"/>
          <w:color w:val="000000"/>
          <w:sz w:val="24"/>
          <w:szCs w:val="24"/>
        </w:rPr>
      </w:pPr>
      <w:r>
        <w:rPr>
          <w:rStyle w:val="Strong"/>
          <w:rFonts w:ascii="Verdana" w:hAnsi="Verdana"/>
          <w:b w:val="0"/>
          <w:bCs w:val="0"/>
          <w:color w:val="000000"/>
          <w:sz w:val="24"/>
          <w:szCs w:val="24"/>
        </w:rPr>
        <w:t> </w:t>
      </w:r>
    </w:p>
    <w:p w14:paraId="7F992422" w14:textId="77777777" w:rsidR="0056050B" w:rsidRDefault="0056050B" w:rsidP="0056050B">
      <w:pPr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Key Considerations for Allowable Start-Up Costs:</w:t>
      </w:r>
    </w:p>
    <w:p w14:paraId="310C3579" w14:textId="1263D5A9" w:rsidR="0056050B" w:rsidRDefault="0056050B" w:rsidP="0056050B">
      <w:pPr>
        <w:numPr>
          <w:ilvl w:val="0"/>
          <w:numId w:val="1"/>
        </w:numPr>
        <w:rPr>
          <w:rFonts w:ascii="Verdana" w:eastAsia="Times New Roman" w:hAnsi="Verdana"/>
          <w:color w:val="1F1F1F"/>
          <w:sz w:val="24"/>
          <w:szCs w:val="24"/>
        </w:rPr>
      </w:pPr>
      <w:r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>Direct Project Relevance</w:t>
      </w:r>
      <w:r w:rsidR="009B432A"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>:</w:t>
      </w:r>
      <w:r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 </w:t>
      </w:r>
      <w:r>
        <w:rPr>
          <w:rFonts w:ascii="Verdana" w:eastAsia="Times New Roman" w:hAnsi="Verdana"/>
          <w:color w:val="1F1F1F"/>
          <w:sz w:val="24"/>
          <w:szCs w:val="24"/>
        </w:rPr>
        <w:t>Start-up costs must demonstrably initiate or facilitate core project activities. They should not be extraneous expenses.</w:t>
      </w:r>
    </w:p>
    <w:p w14:paraId="3C6C2605" w14:textId="27A9C226" w:rsidR="0056050B" w:rsidRDefault="0056050B" w:rsidP="0056050B">
      <w:pPr>
        <w:numPr>
          <w:ilvl w:val="0"/>
          <w:numId w:val="1"/>
        </w:numPr>
        <w:rPr>
          <w:rFonts w:ascii="Verdana" w:eastAsia="Times New Roman" w:hAnsi="Verdana"/>
          <w:color w:val="1F1F1F"/>
          <w:sz w:val="24"/>
          <w:szCs w:val="24"/>
        </w:rPr>
      </w:pPr>
      <w:r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>Reasonableness</w:t>
      </w:r>
      <w:r w:rsidR="009B432A"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>:</w:t>
      </w:r>
      <w:r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 </w:t>
      </w:r>
      <w:r>
        <w:rPr>
          <w:rFonts w:ascii="Verdana" w:eastAsia="Times New Roman" w:hAnsi="Verdana"/>
          <w:color w:val="1F1F1F"/>
          <w:sz w:val="24"/>
          <w:szCs w:val="24"/>
        </w:rPr>
        <w:t>As with all grant expenditures, start-up costs must be reasonable in amount. Avoid exceeding what a prudent person would spend under similar circumstances</w:t>
      </w:r>
      <w:r w:rsidR="009B432A">
        <w:rPr>
          <w:rFonts w:ascii="Verdana" w:eastAsia="Times New Roman" w:hAnsi="Verdana"/>
          <w:color w:val="1F1F1F"/>
          <w:sz w:val="24"/>
          <w:szCs w:val="24"/>
        </w:rPr>
        <w:t xml:space="preserve">. </w:t>
      </w:r>
    </w:p>
    <w:p w14:paraId="1BFB5719" w14:textId="77777777" w:rsidR="0056050B" w:rsidRDefault="0056050B" w:rsidP="0056050B">
      <w:pPr>
        <w:numPr>
          <w:ilvl w:val="0"/>
          <w:numId w:val="1"/>
        </w:numPr>
        <w:rPr>
          <w:rFonts w:ascii="Verdana" w:eastAsia="Times New Roman" w:hAnsi="Verdana"/>
          <w:color w:val="1F1F1F"/>
          <w:sz w:val="24"/>
          <w:szCs w:val="24"/>
        </w:rPr>
      </w:pPr>
      <w:r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>Necessity:</w:t>
      </w:r>
      <w:r>
        <w:rPr>
          <w:rFonts w:ascii="Verdana" w:eastAsia="Times New Roman" w:hAnsi="Verdana"/>
          <w:color w:val="1F1F1F"/>
          <w:sz w:val="24"/>
          <w:szCs w:val="24"/>
        </w:rPr>
        <w:t xml:space="preserve"> Start-up costs should be necessary to begin project execution effectively. Evaluate if these expenses are truly essential for a successful project launch.</w:t>
      </w:r>
    </w:p>
    <w:p w14:paraId="14492649" w14:textId="77777777" w:rsidR="0056050B" w:rsidRDefault="0056050B" w:rsidP="0056050B">
      <w:pPr>
        <w:numPr>
          <w:ilvl w:val="0"/>
          <w:numId w:val="1"/>
        </w:numPr>
        <w:rPr>
          <w:rFonts w:ascii="Verdana" w:eastAsia="Times New Roman" w:hAnsi="Verdana"/>
          <w:color w:val="1F1F1F"/>
          <w:sz w:val="24"/>
          <w:szCs w:val="24"/>
        </w:rPr>
      </w:pPr>
      <w:r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>Alignment with Award Terms:</w:t>
      </w:r>
      <w:r>
        <w:rPr>
          <w:rFonts w:ascii="Verdana" w:eastAsia="Times New Roman" w:hAnsi="Verdana"/>
          <w:color w:val="1F1F1F"/>
          <w:sz w:val="24"/>
          <w:szCs w:val="24"/>
        </w:rPr>
        <w:t xml:space="preserve"> All start-up activities must comply with the terms and conditions outlined in the official grant award document.</w:t>
      </w:r>
    </w:p>
    <w:p w14:paraId="554E8DF1" w14:textId="77777777" w:rsidR="0056050B" w:rsidRDefault="0056050B" w:rsidP="0056050B">
      <w:pPr>
        <w:rPr>
          <w:rFonts w:ascii="Verdana" w:hAnsi="Verdana"/>
          <w:color w:val="000000"/>
          <w:sz w:val="24"/>
          <w:szCs w:val="24"/>
        </w:rPr>
      </w:pPr>
      <w:r>
        <w:rPr>
          <w:rStyle w:val="Strong"/>
          <w:rFonts w:ascii="Verdana" w:hAnsi="Verdana"/>
          <w:b w:val="0"/>
          <w:bCs w:val="0"/>
          <w:sz w:val="24"/>
          <w:szCs w:val="24"/>
        </w:rPr>
        <w:t> </w:t>
      </w:r>
    </w:p>
    <w:p w14:paraId="78045614" w14:textId="77777777" w:rsidR="009B432A" w:rsidRDefault="0056050B" w:rsidP="009B432A">
      <w:pPr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1F1F1F"/>
          <w:sz w:val="24"/>
          <w:szCs w:val="24"/>
        </w:rPr>
        <w:t xml:space="preserve">Start-up costs encompass activities necessary to transition from project planning to execution. </w:t>
      </w:r>
      <w:commentRangeStart w:id="0"/>
      <w:r w:rsidR="009B432A">
        <w:rPr>
          <w:rStyle w:val="Strong"/>
          <w:rFonts w:ascii="Verdana" w:hAnsi="Verdana"/>
          <w:b w:val="0"/>
          <w:bCs w:val="0"/>
          <w:color w:val="000000"/>
          <w:sz w:val="24"/>
          <w:szCs w:val="24"/>
        </w:rPr>
        <w:t>The items listed below are only a guide and do not constitute approval from HHSC for use of funds for these purposes.</w:t>
      </w:r>
      <w:commentRangeEnd w:id="0"/>
      <w:r w:rsidR="009B432A">
        <w:rPr>
          <w:rStyle w:val="CommentReference"/>
        </w:rPr>
        <w:commentReference w:id="0"/>
      </w:r>
      <w:r w:rsidR="009B432A">
        <w:rPr>
          <w:rStyle w:val="Strong"/>
          <w:rFonts w:ascii="Verdana" w:hAnsi="Verdana"/>
          <w:b w:val="0"/>
          <w:bCs w:val="0"/>
          <w:color w:val="000000"/>
          <w:sz w:val="24"/>
          <w:szCs w:val="24"/>
        </w:rPr>
        <w:t xml:space="preserve"> HHSC will approve any start-up costs in coordination with grantees through submission of budget proposals. </w:t>
      </w:r>
    </w:p>
    <w:p w14:paraId="24F6C598" w14:textId="3BC750AC" w:rsidR="0056050B" w:rsidRDefault="0056050B" w:rsidP="0056050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 </w:t>
      </w:r>
    </w:p>
    <w:p w14:paraId="563DA7B9" w14:textId="3B23FB8F" w:rsidR="009B432A" w:rsidRDefault="009B432A" w:rsidP="0056050B">
      <w:pPr>
        <w:rPr>
          <w:rFonts w:ascii="Verdana" w:hAnsi="Verdana"/>
          <w:color w:val="000000"/>
          <w:sz w:val="24"/>
          <w:szCs w:val="24"/>
        </w:rPr>
      </w:pPr>
      <w:proofErr w:type="gramStart"/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Typically</w:t>
      </w:r>
      <w:proofErr w:type="gramEnd"/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 </w:t>
      </w:r>
      <w:r w:rsidR="00D347FC"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a</w:t>
      </w: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llowable </w:t>
      </w:r>
      <w:r w:rsidR="00D347FC"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s</w:t>
      </w: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tart-</w:t>
      </w:r>
      <w:r w:rsidR="00D347FC"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u</w:t>
      </w: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p </w:t>
      </w:r>
      <w:r w:rsidR="00D347FC"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c</w:t>
      </w: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osts </w:t>
      </w:r>
      <w:r w:rsidRPr="002E499D"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under federal and Texas guidelines:</w:t>
      </w:r>
    </w:p>
    <w:p w14:paraId="2A071E0E" w14:textId="77777777" w:rsidR="0056050B" w:rsidRDefault="0056050B" w:rsidP="0056050B">
      <w:pPr>
        <w:pStyle w:val="ListParagraph"/>
        <w:numPr>
          <w:ilvl w:val="0"/>
          <w:numId w:val="2"/>
        </w:numPr>
        <w:spacing w:before="0" w:beforeAutospacing="0" w:after="0" w:afterAutospacing="0"/>
        <w:rPr>
          <w:rFonts w:ascii="Verdana" w:eastAsia="Times New Roman" w:hAnsi="Verdana"/>
          <w:sz w:val="24"/>
          <w:szCs w:val="24"/>
        </w:rPr>
      </w:pPr>
      <w:r>
        <w:rPr>
          <w:rFonts w:ascii="Verdana" w:eastAsia="Times New Roman" w:hAnsi="Verdana"/>
          <w:b/>
          <w:bCs/>
          <w:sz w:val="24"/>
          <w:szCs w:val="24"/>
        </w:rPr>
        <w:t>Personnel and Fringe</w:t>
      </w:r>
    </w:p>
    <w:p w14:paraId="6E18C926" w14:textId="77777777" w:rsidR="0056050B" w:rsidRDefault="0056050B" w:rsidP="0056050B">
      <w:pPr>
        <w:pStyle w:val="ListParagraph"/>
        <w:numPr>
          <w:ilvl w:val="0"/>
          <w:numId w:val="3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Compensation/benefits/taxes for new hires/satellite staff. </w:t>
      </w:r>
    </w:p>
    <w:p w14:paraId="47E9B8FE" w14:textId="77777777" w:rsidR="0056050B" w:rsidRDefault="0056050B" w:rsidP="0056050B">
      <w:pPr>
        <w:pStyle w:val="ListParagraph"/>
        <w:numPr>
          <w:ilvl w:val="0"/>
          <w:numId w:val="3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Compensation/benefits/taxes for organization’ shared staff. </w:t>
      </w:r>
    </w:p>
    <w:p w14:paraId="6C6AC602" w14:textId="77777777" w:rsidR="0056050B" w:rsidRDefault="0056050B" w:rsidP="0056050B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="Verdana" w:eastAsia="Times New Roman" w:hAnsi="Verdana"/>
          <w:sz w:val="24"/>
          <w:szCs w:val="24"/>
        </w:rPr>
      </w:pPr>
      <w:r>
        <w:rPr>
          <w:rFonts w:ascii="Verdana" w:eastAsia="Times New Roman" w:hAnsi="Verdana"/>
          <w:b/>
          <w:bCs/>
          <w:sz w:val="24"/>
          <w:szCs w:val="24"/>
        </w:rPr>
        <w:t xml:space="preserve">Travel </w:t>
      </w:r>
    </w:p>
    <w:p w14:paraId="573B1D7B" w14:textId="77777777" w:rsidR="0056050B" w:rsidRDefault="0056050B" w:rsidP="0056050B">
      <w:pPr>
        <w:pStyle w:val="ListParagraph"/>
        <w:numPr>
          <w:ilvl w:val="0"/>
          <w:numId w:val="5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Travel to/from training and professional development courses for staff. </w:t>
      </w:r>
    </w:p>
    <w:p w14:paraId="11E6E11C" w14:textId="77777777" w:rsidR="0056050B" w:rsidRDefault="0056050B" w:rsidP="0056050B">
      <w:pPr>
        <w:pStyle w:val="ListParagraph"/>
        <w:numPr>
          <w:ilvl w:val="0"/>
          <w:numId w:val="6"/>
        </w:numPr>
        <w:spacing w:before="0" w:beforeAutospacing="0" w:after="0" w:afterAutospacing="0"/>
        <w:rPr>
          <w:rFonts w:ascii="Verdana" w:eastAsia="Times New Roman" w:hAnsi="Verdana"/>
          <w:sz w:val="24"/>
          <w:szCs w:val="24"/>
        </w:rPr>
      </w:pPr>
      <w:r>
        <w:rPr>
          <w:rFonts w:ascii="Verdana" w:eastAsia="Times New Roman" w:hAnsi="Verdana"/>
          <w:b/>
          <w:bCs/>
          <w:sz w:val="24"/>
          <w:szCs w:val="24"/>
        </w:rPr>
        <w:t>Equipment and Supplies</w:t>
      </w:r>
    </w:p>
    <w:p w14:paraId="6156B873" w14:textId="77777777" w:rsidR="0056050B" w:rsidRDefault="0056050B" w:rsidP="0056050B">
      <w:pPr>
        <w:pStyle w:val="ListParagraph"/>
        <w:numPr>
          <w:ilvl w:val="0"/>
          <w:numId w:val="7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Workstations, computers, phones to meet the physical needs for new/satellite office space.</w:t>
      </w:r>
    </w:p>
    <w:p w14:paraId="56EF0657" w14:textId="77777777" w:rsidR="0056050B" w:rsidRDefault="0056050B" w:rsidP="0056050B">
      <w:pPr>
        <w:pStyle w:val="ListParagraph"/>
        <w:numPr>
          <w:ilvl w:val="0"/>
          <w:numId w:val="7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Required curriculums for the new program.</w:t>
      </w:r>
    </w:p>
    <w:p w14:paraId="2AD32D65" w14:textId="77777777" w:rsidR="0056050B" w:rsidRDefault="0056050B" w:rsidP="0056050B">
      <w:pPr>
        <w:pStyle w:val="ListParagraph"/>
        <w:numPr>
          <w:ilvl w:val="0"/>
          <w:numId w:val="7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Programmatic supplies.</w:t>
      </w:r>
    </w:p>
    <w:p w14:paraId="028143DA" w14:textId="77777777" w:rsidR="0056050B" w:rsidRDefault="0056050B" w:rsidP="0056050B">
      <w:pPr>
        <w:pStyle w:val="ListParagraph"/>
        <w:numPr>
          <w:ilvl w:val="0"/>
          <w:numId w:val="7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Office supplies to outfit new/satellite office space. </w:t>
      </w:r>
    </w:p>
    <w:p w14:paraId="3414B29A" w14:textId="77777777" w:rsidR="0056050B" w:rsidRDefault="0056050B" w:rsidP="0056050B">
      <w:pPr>
        <w:pStyle w:val="ListParagraph"/>
        <w:numPr>
          <w:ilvl w:val="0"/>
          <w:numId w:val="7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Office equipment leases for new/satellite office space.</w:t>
      </w:r>
    </w:p>
    <w:p w14:paraId="19147E77" w14:textId="77777777" w:rsidR="0056050B" w:rsidRDefault="0056050B" w:rsidP="0056050B">
      <w:pPr>
        <w:pStyle w:val="ListParagraph"/>
        <w:numPr>
          <w:ilvl w:val="0"/>
          <w:numId w:val="8"/>
        </w:numPr>
        <w:spacing w:before="0" w:beforeAutospacing="0" w:after="0" w:afterAutospacing="0"/>
        <w:rPr>
          <w:rFonts w:ascii="Verdana" w:eastAsia="Times New Roman" w:hAnsi="Verdana"/>
          <w:sz w:val="24"/>
          <w:szCs w:val="24"/>
        </w:rPr>
      </w:pPr>
      <w:r>
        <w:rPr>
          <w:rFonts w:ascii="Verdana" w:eastAsia="Times New Roman" w:hAnsi="Verdana"/>
          <w:b/>
          <w:bCs/>
          <w:sz w:val="24"/>
          <w:szCs w:val="24"/>
        </w:rPr>
        <w:t>Contractual and Other</w:t>
      </w:r>
    </w:p>
    <w:p w14:paraId="42444E68" w14:textId="77777777" w:rsidR="0056050B" w:rsidRDefault="0056050B" w:rsidP="0056050B">
      <w:pPr>
        <w:pStyle w:val="ListParagraph"/>
        <w:numPr>
          <w:ilvl w:val="0"/>
          <w:numId w:val="9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Obtain/Retain/expand insurance for anything related to the new program. </w:t>
      </w:r>
    </w:p>
    <w:p w14:paraId="5180C7F1" w14:textId="77777777" w:rsidR="0056050B" w:rsidRDefault="0056050B" w:rsidP="0056050B">
      <w:pPr>
        <w:pStyle w:val="ListParagraph"/>
        <w:numPr>
          <w:ilvl w:val="0"/>
          <w:numId w:val="9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Construction costs for building or renovation of facility to set up new/satellite office space for the new program.</w:t>
      </w:r>
    </w:p>
    <w:p w14:paraId="5483526C" w14:textId="77777777" w:rsidR="0056050B" w:rsidRDefault="0056050B" w:rsidP="0056050B">
      <w:pPr>
        <w:pStyle w:val="ListParagraph"/>
        <w:numPr>
          <w:ilvl w:val="0"/>
          <w:numId w:val="9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Occupancy and maintenance (e.g., rent, utilities, etc.) to establish new/satellite office space for the new program.</w:t>
      </w:r>
    </w:p>
    <w:p w14:paraId="4CFDEC53" w14:textId="77777777" w:rsidR="0056050B" w:rsidRDefault="0056050B" w:rsidP="0056050B">
      <w:pPr>
        <w:pStyle w:val="ListParagraph"/>
        <w:numPr>
          <w:ilvl w:val="0"/>
          <w:numId w:val="9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Outreach and Community engagement, website development, communications plan to engage and inform community and retain network of providers.</w:t>
      </w:r>
    </w:p>
    <w:p w14:paraId="446005FE" w14:textId="77777777" w:rsidR="0056050B" w:rsidRDefault="0056050B" w:rsidP="0056050B">
      <w:pPr>
        <w:pStyle w:val="ListParagraph"/>
        <w:numPr>
          <w:ilvl w:val="0"/>
          <w:numId w:val="9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Lease or purchase of vehicles related to program provision.</w:t>
      </w:r>
    </w:p>
    <w:p w14:paraId="32D2B2F2" w14:textId="77777777" w:rsidR="0056050B" w:rsidRDefault="0056050B" w:rsidP="0056050B">
      <w:pPr>
        <w:pStyle w:val="ListParagraph"/>
        <w:numPr>
          <w:ilvl w:val="0"/>
          <w:numId w:val="9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Telecommunication services to set up new/satellite office space.</w:t>
      </w:r>
    </w:p>
    <w:p w14:paraId="5827C74D" w14:textId="77777777" w:rsidR="0056050B" w:rsidRDefault="0056050B" w:rsidP="0056050B">
      <w:pPr>
        <w:pStyle w:val="ListParagraph"/>
        <w:numPr>
          <w:ilvl w:val="0"/>
          <w:numId w:val="9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Software development (e.g., system upgrades) to assume case management and other services. </w:t>
      </w:r>
    </w:p>
    <w:p w14:paraId="0915C991" w14:textId="77777777" w:rsidR="0056050B" w:rsidRDefault="0056050B" w:rsidP="0056050B">
      <w:pPr>
        <w:pStyle w:val="ListParagraph"/>
        <w:numPr>
          <w:ilvl w:val="0"/>
          <w:numId w:val="9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Program share of organization's IT support and office software will transfer to new services.</w:t>
      </w:r>
    </w:p>
    <w:p w14:paraId="23E26511" w14:textId="77777777" w:rsidR="0056050B" w:rsidRDefault="0056050B" w:rsidP="0056050B">
      <w:pPr>
        <w:pStyle w:val="ListParagraph"/>
        <w:numPr>
          <w:ilvl w:val="0"/>
          <w:numId w:val="9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Criminal history checks (if applicable/required) for new staff.</w:t>
      </w:r>
    </w:p>
    <w:p w14:paraId="3F4C0927" w14:textId="77777777" w:rsidR="0056050B" w:rsidRDefault="0056050B" w:rsidP="0056050B">
      <w:pPr>
        <w:pStyle w:val="ListParagraph"/>
        <w:numPr>
          <w:ilvl w:val="0"/>
          <w:numId w:val="9"/>
        </w:numPr>
        <w:spacing w:before="0" w:beforeAutospacing="0" w:after="0" w:afterAutospacing="0"/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Registration costs for training and professional development courses for staff. </w:t>
      </w:r>
    </w:p>
    <w:p w14:paraId="6307FE0C" w14:textId="77777777" w:rsidR="0056050B" w:rsidRDefault="0056050B" w:rsidP="0056050B">
      <w:pPr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sz w:val="24"/>
          <w:szCs w:val="24"/>
        </w:rPr>
        <w:t> </w:t>
      </w:r>
    </w:p>
    <w:p w14:paraId="44AA0D3E" w14:textId="5374D599" w:rsidR="0056050B" w:rsidRDefault="0056050B" w:rsidP="0056050B">
      <w:pPr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Activities </w:t>
      </w:r>
      <w:r w:rsidR="00D347FC"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n</w:t>
      </w: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ot </w:t>
      </w:r>
      <w:r w:rsidR="00D347FC"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t</w:t>
      </w: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ypically </w:t>
      </w:r>
      <w:r w:rsidR="00D347FC"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a</w:t>
      </w: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llowable as </w:t>
      </w:r>
      <w:r w:rsidR="00D347FC"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s</w:t>
      </w: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tart-</w:t>
      </w:r>
      <w:r w:rsidR="00D347FC"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u</w:t>
      </w: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p </w:t>
      </w:r>
      <w:r w:rsidR="00D347FC"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c</w:t>
      </w: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osts:</w:t>
      </w:r>
    </w:p>
    <w:p w14:paraId="14EFADE7" w14:textId="4FB286D0" w:rsidR="009B432A" w:rsidRPr="009B432A" w:rsidRDefault="0056050B" w:rsidP="009B432A">
      <w:pPr>
        <w:numPr>
          <w:ilvl w:val="0"/>
          <w:numId w:val="10"/>
        </w:numPr>
        <w:rPr>
          <w:rFonts w:ascii="Verdana" w:eastAsia="Times New Roman" w:hAnsi="Verdana"/>
          <w:color w:val="1F1F1F"/>
          <w:sz w:val="24"/>
          <w:szCs w:val="24"/>
        </w:rPr>
      </w:pPr>
      <w:r w:rsidRPr="009B432A"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 xml:space="preserve">Pre-Award </w:t>
      </w:r>
      <w:r w:rsidR="009B432A"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>Activities</w:t>
      </w:r>
      <w:r w:rsidRPr="009B432A"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>:</w:t>
      </w:r>
      <w:r w:rsidRPr="009B432A">
        <w:rPr>
          <w:rFonts w:ascii="Verdana" w:eastAsia="Times New Roman" w:hAnsi="Verdana"/>
          <w:color w:val="1F1F1F"/>
          <w:sz w:val="24"/>
          <w:szCs w:val="24"/>
        </w:rPr>
        <w:t xml:space="preserve"> </w:t>
      </w:r>
      <w:r w:rsidR="009B432A" w:rsidRPr="00866339">
        <w:rPr>
          <w:rFonts w:ascii="Verdana" w:eastAsia="Times New Roman" w:hAnsi="Verdana"/>
          <w:color w:val="1F1F1F"/>
          <w:sz w:val="24"/>
          <w:szCs w:val="24"/>
        </w:rPr>
        <w:t>Pre-award costs are those incurred prior to the effective date of the award</w:t>
      </w:r>
      <w:r w:rsidR="009B432A">
        <w:rPr>
          <w:rFonts w:ascii="Verdana" w:eastAsia="Times New Roman" w:hAnsi="Verdana"/>
          <w:color w:val="1F1F1F"/>
          <w:sz w:val="24"/>
          <w:szCs w:val="24"/>
        </w:rPr>
        <w:t xml:space="preserve"> and include c</w:t>
      </w:r>
      <w:r w:rsidRPr="009B432A">
        <w:rPr>
          <w:rFonts w:ascii="Verdana" w:eastAsia="Times New Roman" w:hAnsi="Verdana"/>
          <w:color w:val="1F1F1F"/>
          <w:sz w:val="24"/>
          <w:szCs w:val="24"/>
        </w:rPr>
        <w:t>osts associated with proposal development, such as consultant fees or travel for proposal meetings</w:t>
      </w:r>
      <w:r w:rsidR="009B432A">
        <w:rPr>
          <w:rFonts w:ascii="Verdana" w:eastAsia="Times New Roman" w:hAnsi="Verdana"/>
          <w:color w:val="1F1F1F"/>
          <w:sz w:val="24"/>
          <w:szCs w:val="24"/>
        </w:rPr>
        <w:t xml:space="preserve">. </w:t>
      </w:r>
    </w:p>
    <w:p w14:paraId="62FA11B3" w14:textId="2D920575" w:rsidR="0056050B" w:rsidRDefault="0056050B" w:rsidP="0056050B">
      <w:pPr>
        <w:numPr>
          <w:ilvl w:val="0"/>
          <w:numId w:val="10"/>
        </w:numPr>
        <w:rPr>
          <w:rFonts w:ascii="Verdana" w:eastAsia="Times New Roman" w:hAnsi="Verdana"/>
          <w:color w:val="1F1F1F"/>
          <w:sz w:val="24"/>
          <w:szCs w:val="24"/>
        </w:rPr>
      </w:pPr>
      <w:r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>Routine Project Activities:</w:t>
      </w:r>
      <w:r>
        <w:rPr>
          <w:rFonts w:ascii="Verdana" w:eastAsia="Times New Roman" w:hAnsi="Verdana"/>
          <w:color w:val="1F1F1F"/>
          <w:sz w:val="24"/>
          <w:szCs w:val="24"/>
        </w:rPr>
        <w:t xml:space="preserve"> Ongoing operational expenses such as salaries for ongoing project work or routine office supplies</w:t>
      </w:r>
      <w:r w:rsidR="009B432A">
        <w:rPr>
          <w:rFonts w:ascii="Verdana" w:eastAsia="Times New Roman" w:hAnsi="Verdana"/>
          <w:color w:val="1F1F1F"/>
          <w:sz w:val="24"/>
          <w:szCs w:val="24"/>
        </w:rPr>
        <w:t xml:space="preserve">. </w:t>
      </w:r>
    </w:p>
    <w:p w14:paraId="2E85DA05" w14:textId="484B8589" w:rsidR="0056050B" w:rsidRDefault="0056050B" w:rsidP="0056050B">
      <w:pPr>
        <w:numPr>
          <w:ilvl w:val="0"/>
          <w:numId w:val="10"/>
        </w:numPr>
        <w:rPr>
          <w:rFonts w:ascii="Verdana" w:eastAsia="Times New Roman" w:hAnsi="Verdana"/>
          <w:color w:val="1F1F1F"/>
          <w:sz w:val="24"/>
          <w:szCs w:val="24"/>
        </w:rPr>
      </w:pPr>
      <w:r>
        <w:rPr>
          <w:rFonts w:ascii="Verdana" w:eastAsia="Times New Roman" w:hAnsi="Verdana"/>
          <w:b/>
          <w:bCs/>
          <w:color w:val="1F1F1F"/>
          <w:sz w:val="24"/>
          <w:szCs w:val="24"/>
          <w:bdr w:val="none" w:sz="0" w:space="0" w:color="auto" w:frame="1"/>
        </w:rPr>
        <w:t>Activities Completed Before Award:</w:t>
      </w:r>
      <w:r>
        <w:rPr>
          <w:rFonts w:ascii="Verdana" w:eastAsia="Times New Roman" w:hAnsi="Verdana"/>
          <w:color w:val="1F1F1F"/>
          <w:sz w:val="24"/>
          <w:szCs w:val="24"/>
        </w:rPr>
        <w:t xml:space="preserve"> </w:t>
      </w:r>
      <w:r w:rsidR="009B432A">
        <w:rPr>
          <w:rFonts w:ascii="Verdana" w:eastAsia="Times New Roman" w:hAnsi="Verdana"/>
          <w:color w:val="1F1F1F"/>
          <w:sz w:val="24"/>
          <w:szCs w:val="24"/>
        </w:rPr>
        <w:t>Project e</w:t>
      </w:r>
      <w:r>
        <w:rPr>
          <w:rFonts w:ascii="Verdana" w:eastAsia="Times New Roman" w:hAnsi="Verdana"/>
          <w:color w:val="1F1F1F"/>
          <w:sz w:val="24"/>
          <w:szCs w:val="24"/>
        </w:rPr>
        <w:t>xpenses incurred before the official grant award notification</w:t>
      </w:r>
      <w:r w:rsidR="009B432A">
        <w:rPr>
          <w:rFonts w:ascii="Verdana" w:eastAsia="Times New Roman" w:hAnsi="Verdana"/>
          <w:color w:val="1F1F1F"/>
          <w:sz w:val="24"/>
          <w:szCs w:val="24"/>
        </w:rPr>
        <w:t xml:space="preserve">. </w:t>
      </w:r>
    </w:p>
    <w:p w14:paraId="6009AB0F" w14:textId="77777777" w:rsidR="0056050B" w:rsidRDefault="0056050B" w:rsidP="0056050B">
      <w:pPr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 </w:t>
      </w:r>
    </w:p>
    <w:p w14:paraId="6DF455F5" w14:textId="77777777" w:rsidR="0056050B" w:rsidRDefault="0056050B" w:rsidP="0056050B">
      <w:pPr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b/>
          <w:bCs/>
          <w:color w:val="1F1F1F"/>
          <w:sz w:val="24"/>
          <w:szCs w:val="24"/>
          <w:bdr w:val="none" w:sz="0" w:space="0" w:color="auto" w:frame="1"/>
        </w:rPr>
        <w:t>Sources:</w:t>
      </w:r>
    </w:p>
    <w:p w14:paraId="51928D57" w14:textId="77777777" w:rsidR="0056050B" w:rsidRDefault="0056050B" w:rsidP="0056050B">
      <w:pPr>
        <w:numPr>
          <w:ilvl w:val="0"/>
          <w:numId w:val="11"/>
        </w:numPr>
        <w:rPr>
          <w:rFonts w:ascii="Verdana" w:eastAsia="Times New Roman" w:hAnsi="Verdana"/>
          <w:color w:val="1F1F1F"/>
          <w:sz w:val="24"/>
          <w:szCs w:val="24"/>
        </w:rPr>
      </w:pPr>
      <w:r>
        <w:rPr>
          <w:rFonts w:ascii="Verdana" w:eastAsia="Times New Roman" w:hAnsi="Verdana"/>
          <w:color w:val="1F1F1F"/>
          <w:sz w:val="24"/>
          <w:szCs w:val="24"/>
        </w:rPr>
        <w:t xml:space="preserve">2 CFR 200 Uniform Guidance: </w:t>
      </w:r>
      <w:hyperlink r:id="rId11" w:tgtFrame="_blank" w:history="1">
        <w:r>
          <w:rPr>
            <w:rStyle w:val="Hyperlink"/>
            <w:rFonts w:ascii="Verdana" w:eastAsia="Times New Roman" w:hAnsi="Verdana"/>
            <w:color w:val="0B57D0"/>
            <w:sz w:val="24"/>
            <w:szCs w:val="24"/>
            <w:bdr w:val="none" w:sz="0" w:space="0" w:color="auto" w:frame="1"/>
          </w:rPr>
          <w:t>https://www.ecfr.gov/current/title-2/subtitle-A/chapter-II/part-200?toc=1</w:t>
        </w:r>
      </w:hyperlink>
    </w:p>
    <w:p w14:paraId="7E452DD3" w14:textId="77777777" w:rsidR="0056050B" w:rsidRDefault="0056050B" w:rsidP="0056050B">
      <w:pPr>
        <w:numPr>
          <w:ilvl w:val="0"/>
          <w:numId w:val="11"/>
        </w:numPr>
        <w:rPr>
          <w:rFonts w:ascii="Verdana" w:eastAsia="Times New Roman" w:hAnsi="Verdana"/>
          <w:color w:val="1F1F1F"/>
          <w:sz w:val="24"/>
          <w:szCs w:val="24"/>
        </w:rPr>
      </w:pPr>
      <w:r>
        <w:rPr>
          <w:rFonts w:ascii="Verdana" w:eastAsia="Times New Roman" w:hAnsi="Verdana"/>
          <w:color w:val="1F1F1F"/>
          <w:sz w:val="24"/>
          <w:szCs w:val="24"/>
        </w:rPr>
        <w:t xml:space="preserve">Texas Grant Management Standards (TGMS): </w:t>
      </w:r>
      <w:hyperlink r:id="rId12" w:tgtFrame="_blank" w:history="1">
        <w:r>
          <w:rPr>
            <w:rStyle w:val="Hyperlink"/>
            <w:rFonts w:ascii="Verdana" w:eastAsia="Times New Roman" w:hAnsi="Verdana"/>
            <w:color w:val="0B57D0"/>
            <w:sz w:val="24"/>
            <w:szCs w:val="24"/>
            <w:bdr w:val="none" w:sz="0" w:space="0" w:color="auto" w:frame="1"/>
          </w:rPr>
          <w:t>https://comptroller.texas.gov/purchasing/grant-management/</w:t>
        </w:r>
      </w:hyperlink>
    </w:p>
    <w:p w14:paraId="3EFBF515" w14:textId="77777777" w:rsidR="0056050B" w:rsidRDefault="0056050B" w:rsidP="0056050B">
      <w:pPr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 </w:t>
      </w:r>
    </w:p>
    <w:p w14:paraId="43A6F14F" w14:textId="77777777" w:rsidR="0056050B" w:rsidRDefault="0056050B"/>
    <w:sectPr w:rsidR="0056050B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Fescenmeyer,Megan (HHSC)" w:date="2024-04-09T15:17:00Z" w:initials="F(">
    <w:p w14:paraId="653EB000" w14:textId="77777777" w:rsidR="009B432A" w:rsidRDefault="009B432A" w:rsidP="009B432A">
      <w:pPr>
        <w:pStyle w:val="CommentText"/>
      </w:pPr>
      <w:r>
        <w:rPr>
          <w:rStyle w:val="CommentReference"/>
        </w:rPr>
        <w:annotationRef/>
      </w:r>
      <w:r>
        <w:t>How would the grantee seek approval for the specific start up costs they are seeking?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53EB0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C2764B" w16cex:dateUtc="2024-04-09T20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3EB000" w16cid:durableId="29C276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30DAD" w14:textId="77777777" w:rsidR="00CC4AFC" w:rsidRDefault="00CC4AFC" w:rsidP="0056050B">
      <w:r>
        <w:separator/>
      </w:r>
    </w:p>
  </w:endnote>
  <w:endnote w:type="continuationSeparator" w:id="0">
    <w:p w14:paraId="42CEE2A2" w14:textId="77777777" w:rsidR="00CC4AFC" w:rsidRDefault="00CC4AFC" w:rsidP="0056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57F75" w14:textId="77777777" w:rsidR="00CC4AFC" w:rsidRDefault="00CC4AFC" w:rsidP="0056050B">
      <w:r>
        <w:separator/>
      </w:r>
    </w:p>
  </w:footnote>
  <w:footnote w:type="continuationSeparator" w:id="0">
    <w:p w14:paraId="7A2A70CF" w14:textId="77777777" w:rsidR="00CC4AFC" w:rsidRDefault="00CC4AFC" w:rsidP="00560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1425F" w14:textId="77777777" w:rsidR="002E499D" w:rsidRDefault="002E499D" w:rsidP="002E499D">
    <w:pPr>
      <w:pStyle w:val="Header"/>
      <w:rPr>
        <w:rFonts w:ascii="Verdana" w:hAnsi="Verdana"/>
      </w:rPr>
    </w:pPr>
    <w:r>
      <w:rPr>
        <w:rFonts w:ascii="Verdana" w:hAnsi="Verdana"/>
      </w:rPr>
      <w:t>HHS0014211 Request for Applications</w:t>
    </w:r>
  </w:p>
  <w:p w14:paraId="359577B5" w14:textId="08837161" w:rsidR="0056050B" w:rsidRPr="0056050B" w:rsidRDefault="0056050B" w:rsidP="002E499D">
    <w:pPr>
      <w:pStyle w:val="Header"/>
      <w:rPr>
        <w:rFonts w:ascii="Verdana" w:hAnsi="Verdana"/>
      </w:rPr>
    </w:pPr>
    <w:r w:rsidRPr="0056050B">
      <w:rPr>
        <w:rFonts w:ascii="Verdana" w:hAnsi="Verdana"/>
      </w:rPr>
      <w:t>Attachment K-1</w:t>
    </w:r>
  </w:p>
  <w:p w14:paraId="2F4F21EE" w14:textId="77777777" w:rsidR="0056050B" w:rsidRDefault="0056050B" w:rsidP="0056050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39E7"/>
    <w:multiLevelType w:val="multilevel"/>
    <w:tmpl w:val="0FD23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7D23BA"/>
    <w:multiLevelType w:val="multilevel"/>
    <w:tmpl w:val="9A2AC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5F378B"/>
    <w:multiLevelType w:val="multilevel"/>
    <w:tmpl w:val="07C69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D0741EE"/>
    <w:multiLevelType w:val="multilevel"/>
    <w:tmpl w:val="1C40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897E65"/>
    <w:multiLevelType w:val="multilevel"/>
    <w:tmpl w:val="662AE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1A37B52"/>
    <w:multiLevelType w:val="multilevel"/>
    <w:tmpl w:val="B25E4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1B059E8"/>
    <w:multiLevelType w:val="multilevel"/>
    <w:tmpl w:val="E78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06081C"/>
    <w:multiLevelType w:val="multilevel"/>
    <w:tmpl w:val="9160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53F6F3C"/>
    <w:multiLevelType w:val="multilevel"/>
    <w:tmpl w:val="66B0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1464EE4"/>
    <w:multiLevelType w:val="multilevel"/>
    <w:tmpl w:val="8C38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554BD7"/>
    <w:multiLevelType w:val="multilevel"/>
    <w:tmpl w:val="62C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71852016">
    <w:abstractNumId w:val="2"/>
  </w:num>
  <w:num w:numId="2" w16cid:durableId="1275479742">
    <w:abstractNumId w:val="6"/>
  </w:num>
  <w:num w:numId="3" w16cid:durableId="782962944">
    <w:abstractNumId w:val="3"/>
  </w:num>
  <w:num w:numId="4" w16cid:durableId="2114670887">
    <w:abstractNumId w:val="7"/>
  </w:num>
  <w:num w:numId="5" w16cid:durableId="175314127">
    <w:abstractNumId w:val="9"/>
  </w:num>
  <w:num w:numId="6" w16cid:durableId="164172167">
    <w:abstractNumId w:val="4"/>
  </w:num>
  <w:num w:numId="7" w16cid:durableId="1715497065">
    <w:abstractNumId w:val="1"/>
  </w:num>
  <w:num w:numId="8" w16cid:durableId="1670060625">
    <w:abstractNumId w:val="10"/>
  </w:num>
  <w:num w:numId="9" w16cid:durableId="1490175030">
    <w:abstractNumId w:val="8"/>
  </w:num>
  <w:num w:numId="10" w16cid:durableId="531453482">
    <w:abstractNumId w:val="5"/>
  </w:num>
  <w:num w:numId="11" w16cid:durableId="138937713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escenmeyer,Megan (HHSC)">
    <w15:presenceInfo w15:providerId="AD" w15:userId="S::Megan.Fescenmeyer01@hhs.texas.gov::6855fd06-d23b-4fdc-b5d5-c2cc0e8f51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50B"/>
    <w:rsid w:val="00005CB6"/>
    <w:rsid w:val="00067F43"/>
    <w:rsid w:val="002E499D"/>
    <w:rsid w:val="003A1EB1"/>
    <w:rsid w:val="0056050B"/>
    <w:rsid w:val="005F3BD5"/>
    <w:rsid w:val="0081178C"/>
    <w:rsid w:val="00847592"/>
    <w:rsid w:val="009B432A"/>
    <w:rsid w:val="00CB331B"/>
    <w:rsid w:val="00CC4AFC"/>
    <w:rsid w:val="00D347FC"/>
    <w:rsid w:val="00D3555E"/>
    <w:rsid w:val="00D6219C"/>
    <w:rsid w:val="00E36909"/>
    <w:rsid w:val="00EB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48ACD"/>
  <w15:chartTrackingRefBased/>
  <w15:docId w15:val="{00711C93-5EDC-4B7D-A9B5-84D75898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50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05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050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6050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605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50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605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50B"/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3A1EB1"/>
    <w:pPr>
      <w:spacing w:after="0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5F3B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3B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3BD5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BD5"/>
    <w:rPr>
      <w:rFonts w:ascii="Calibri" w:hAnsi="Calibri" w:cs="Calibri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47592"/>
    <w:rPr>
      <w:color w:val="954F72" w:themeColor="followedHyperlink"/>
      <w:u w:val="single"/>
    </w:rPr>
  </w:style>
  <w:style w:type="character" w:customStyle="1" w:styleId="cf01">
    <w:name w:val="cf01"/>
    <w:basedOn w:val="DefaultParagraphFont"/>
    <w:rsid w:val="009B432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https://comptroller.texas.gov/purchasing/grant-managemen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cfr.gov/current/title-2/subtitle-A/chapter-II/part-200?toc=1" TargetMode="Externa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Pedersen,Amy (HHSC/DSHS)</dc:creator>
  <cp:keywords/>
  <dc:description/>
  <cp:lastModifiedBy>Williams,Dedra (HHSC)</cp:lastModifiedBy>
  <cp:revision>5</cp:revision>
  <dcterms:created xsi:type="dcterms:W3CDTF">2024-04-11T18:38:00Z</dcterms:created>
  <dcterms:modified xsi:type="dcterms:W3CDTF">2024-04-22T13:56:00Z</dcterms:modified>
</cp:coreProperties>
</file>