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B4A2" w14:textId="383144B7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Form </w:t>
      </w:r>
      <w:r w:rsidR="00F77C89">
        <w:rPr>
          <w:rFonts w:ascii="Times New Roman" w:hAnsi="Times New Roman" w:cs="Times New Roman"/>
          <w:b/>
          <w:bCs/>
          <w:sz w:val="36"/>
          <w:szCs w:val="36"/>
        </w:rPr>
        <w:t>I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- Internal Controls Questionnaire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95684C">
        <w:tc>
          <w:tcPr>
            <w:tcW w:w="3145" w:type="dxa"/>
          </w:tcPr>
          <w:p w14:paraId="067711AA" w14:textId="16A7C5FF" w:rsidR="00B52445" w:rsidRPr="00065728" w:rsidRDefault="003227A9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  <w:shd w:val="clear" w:color="auto" w:fill="auto"/>
          </w:tcPr>
          <w:p w14:paraId="20ED5178" w14:textId="77777777" w:rsidR="00B52445" w:rsidRPr="00065728" w:rsidRDefault="00B52445" w:rsidP="0091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2AD46533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applicants must respond to questions in Table 1. 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Form </w:t>
      </w:r>
      <w:r w:rsidR="006D3406">
        <w:rPr>
          <w:rFonts w:ascii="Times New Roman" w:eastAsia="Times New Roman" w:hAnsi="Times New Roman" w:cs="Times New Roman"/>
          <w:color w:val="000000"/>
          <w:sz w:val="24"/>
          <w:szCs w:val="28"/>
        </w:rPr>
        <w:t>I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proofErr w:type="gramStart"/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>has</w:t>
      </w:r>
      <w:proofErr w:type="gramEnd"/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 page limit of </w:t>
      </w:r>
      <w:r w:rsidR="006612E5">
        <w:rPr>
          <w:rFonts w:ascii="Times New Roman" w:eastAsia="Times New Roman" w:hAnsi="Times New Roman" w:cs="Times New Roman"/>
          <w:color w:val="000000"/>
          <w:sz w:val="24"/>
          <w:szCs w:val="28"/>
        </w:rPr>
        <w:t>six (6)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pages. </w:t>
      </w:r>
      <w:r w:rsidR="006C71B5">
        <w:rPr>
          <w:rFonts w:ascii="Times New Roman" w:eastAsia="Times New Roman" w:hAnsi="Times New Roman" w:cs="Times New Roman"/>
          <w:color w:val="000000"/>
          <w:sz w:val="24"/>
          <w:szCs w:val="28"/>
        </w:rPr>
        <w:t>Nonprofit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696"/>
        <w:gridCol w:w="4729"/>
        <w:gridCol w:w="4105"/>
      </w:tblGrid>
      <w:tr w:rsidR="00970F96" w:rsidRPr="00065728" w14:paraId="7B9527C6" w14:textId="77777777" w:rsidTr="00D746F0">
        <w:tc>
          <w:tcPr>
            <w:tcW w:w="5425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105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D746F0">
        <w:tc>
          <w:tcPr>
            <w:tcW w:w="696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105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D746F0">
        <w:tc>
          <w:tcPr>
            <w:tcW w:w="696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9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105" w:type="dxa"/>
            <w:vAlign w:val="center"/>
          </w:tcPr>
          <w:p w14:paraId="51D21FE6" w14:textId="77777777" w:rsidR="000F39CE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Computerized </w:t>
            </w:r>
          </w:p>
          <w:p w14:paraId="6F7B7C1C" w14:textId="77777777" w:rsidR="00D70F30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Manual </w:t>
            </w:r>
          </w:p>
          <w:p w14:paraId="6AB9D682" w14:textId="14A9FA5A" w:rsidR="00D70F30" w:rsidRPr="00065728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Combination of both</w:t>
            </w:r>
          </w:p>
        </w:tc>
      </w:tr>
      <w:tr w:rsidR="000F39CE" w:rsidRPr="00065728" w14:paraId="37B1B655" w14:textId="77777777" w:rsidTr="00D746F0">
        <w:tc>
          <w:tcPr>
            <w:tcW w:w="696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9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05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D746F0">
        <w:tc>
          <w:tcPr>
            <w:tcW w:w="696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9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105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D746F0">
        <w:tc>
          <w:tcPr>
            <w:tcW w:w="696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9" w:type="dxa"/>
          </w:tcPr>
          <w:p w14:paraId="6ABF91CC" w14:textId="68874113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D746F0">
        <w:tc>
          <w:tcPr>
            <w:tcW w:w="696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9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105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D746F0">
        <w:tc>
          <w:tcPr>
            <w:tcW w:w="696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9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are transactions organized, </w:t>
            </w:r>
            <w:proofErr w:type="gramStart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maintained</w:t>
            </w:r>
            <w:proofErr w:type="gramEnd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summarized in financial reports?</w:t>
            </w:r>
          </w:p>
        </w:tc>
        <w:tc>
          <w:tcPr>
            <w:tcW w:w="4105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D746F0">
        <w:tc>
          <w:tcPr>
            <w:tcW w:w="696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9" w:type="dxa"/>
          </w:tcPr>
          <w:p w14:paraId="2E635552" w14:textId="27D86EB0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proofErr w:type="spellStart"/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GMS</w:t>
            </w:r>
            <w:proofErr w:type="spellEnd"/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</w:t>
            </w:r>
            <w:r w:rsidR="00F77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guidelines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78991D67" w14:textId="5A3A9876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509FE51" w14:textId="5A012DFA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D746F0">
        <w:tc>
          <w:tcPr>
            <w:tcW w:w="696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29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105" w:type="dxa"/>
          </w:tcPr>
          <w:p w14:paraId="3CE3D970" w14:textId="77777777" w:rsidR="001C3F0E" w:rsidRDefault="001C3F0E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B908AE" w14:textId="74257C38" w:rsidR="000F39CE" w:rsidRPr="00065728" w:rsidRDefault="001C3F0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</w:tc>
      </w:tr>
      <w:tr w:rsidR="0028494F" w:rsidRPr="00065728" w14:paraId="54264BBE" w14:textId="77777777" w:rsidTr="00D746F0">
        <w:tc>
          <w:tcPr>
            <w:tcW w:w="696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9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105" w:type="dxa"/>
          </w:tcPr>
          <w:p w14:paraId="334149C1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6AB7487A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00D746F0">
        <w:tc>
          <w:tcPr>
            <w:tcW w:w="696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29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14646895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6B0CE40F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00D746F0">
        <w:tc>
          <w:tcPr>
            <w:tcW w:w="696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9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105" w:type="dxa"/>
          </w:tcPr>
          <w:p w14:paraId="0AB1429A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D54BB34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00D746F0">
        <w:tc>
          <w:tcPr>
            <w:tcW w:w="696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29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105" w:type="dxa"/>
          </w:tcPr>
          <w:p w14:paraId="0FB99AF4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5E7A48B2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00D746F0">
        <w:tc>
          <w:tcPr>
            <w:tcW w:w="696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29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105" w:type="dxa"/>
          </w:tcPr>
          <w:p w14:paraId="400EEB4A" w14:textId="77777777" w:rsidR="009B528D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17655DD0" w:rsidR="002A79D0" w:rsidRPr="00065728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00D746F0">
        <w:tc>
          <w:tcPr>
            <w:tcW w:w="696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29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105" w:type="dxa"/>
          </w:tcPr>
          <w:p w14:paraId="55625305" w14:textId="77777777" w:rsidR="002573FE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3817CCF2" w:rsidR="002A79D0" w:rsidRPr="00065728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00D746F0">
        <w:tc>
          <w:tcPr>
            <w:tcW w:w="696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9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GMS</w:t>
            </w:r>
            <w:proofErr w:type="spellEnd"/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</w:t>
            </w:r>
            <w:proofErr w:type="spellStart"/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TxGMS</w:t>
            </w:r>
            <w:proofErr w:type="spellEnd"/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</w:t>
            </w:r>
            <w:proofErr w:type="spellStart"/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TxGMS</w:t>
            </w:r>
            <w:proofErr w:type="spellEnd"/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4ADC9631" w14:textId="77777777" w:rsidR="001B229C" w:rsidRDefault="001B229C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0E9AB5A9" w:rsidR="001B229C" w:rsidRPr="00065728" w:rsidRDefault="001B229C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F5E93" w:rsidRPr="00065728" w14:paraId="1A619A94" w14:textId="77777777" w:rsidTr="00D746F0">
        <w:tc>
          <w:tcPr>
            <w:tcW w:w="696" w:type="dxa"/>
          </w:tcPr>
          <w:p w14:paraId="6246285E" w14:textId="1D35E5F0" w:rsidR="00EF5E93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29" w:type="dxa"/>
          </w:tcPr>
          <w:p w14:paraId="38878D31" w14:textId="297A164C" w:rsidR="00EF5E93" w:rsidRPr="001B229C" w:rsidRDefault="00EF5E93" w:rsidP="001B229C">
            <w:pPr>
              <w:tabs>
                <w:tab w:val="left" w:pos="810"/>
              </w:tabs>
              <w:rPr>
                <w:rFonts w:eastAsia="Times New Roman" w:cs="Times New Roman"/>
                <w:color w:val="000000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105" w:type="dxa"/>
          </w:tcPr>
          <w:p w14:paraId="4BB639F3" w14:textId="77777777" w:rsidR="00EF5E93" w:rsidRDefault="00EF5E93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434071FC" w14:textId="28D9FF0A" w:rsidR="00EF5E93" w:rsidRPr="00065728" w:rsidRDefault="00EF5E93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F5E93" w:rsidRPr="00065728" w14:paraId="598EA60C" w14:textId="77777777" w:rsidTr="00D746F0">
        <w:tc>
          <w:tcPr>
            <w:tcW w:w="696" w:type="dxa"/>
          </w:tcPr>
          <w:p w14:paraId="44ECBBAA" w14:textId="37C2D97E" w:rsidR="00EF5E93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37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9" w:type="dxa"/>
          </w:tcPr>
          <w:p w14:paraId="48E84166" w14:textId="31DB8886" w:rsidR="00EF5E93" w:rsidRPr="00943027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105" w:type="dxa"/>
          </w:tcPr>
          <w:p w14:paraId="61344980" w14:textId="77777777" w:rsidR="00EF5E93" w:rsidRDefault="00EF5E93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46EA94E6" w:rsidR="00EF5E93" w:rsidRPr="00065728" w:rsidRDefault="00EF5E93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F5E93" w:rsidRPr="00065728" w14:paraId="090F7DB7" w14:textId="77777777" w:rsidTr="00D746F0">
        <w:tc>
          <w:tcPr>
            <w:tcW w:w="696" w:type="dxa"/>
          </w:tcPr>
          <w:p w14:paraId="277112FF" w14:textId="305F0CA1" w:rsidR="00EF5E93" w:rsidRDefault="00E374DB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29" w:type="dxa"/>
          </w:tcPr>
          <w:p w14:paraId="37F27B9B" w14:textId="4974447E" w:rsidR="00EF5E93" w:rsidRPr="00464790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105" w:type="dxa"/>
          </w:tcPr>
          <w:p w14:paraId="119A007F" w14:textId="77777777" w:rsidR="00EF5E93" w:rsidRDefault="00EF5E93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23250B15" w:rsidR="00EF5E93" w:rsidRPr="00065728" w:rsidRDefault="00EF5E93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374DB" w:rsidRPr="00065728" w14:paraId="02C7ABE8" w14:textId="77777777" w:rsidTr="00644AC2">
        <w:tc>
          <w:tcPr>
            <w:tcW w:w="9530" w:type="dxa"/>
            <w:gridSpan w:val="3"/>
          </w:tcPr>
          <w:p w14:paraId="2BEEC9FD" w14:textId="411FF47D" w:rsidR="00E374DB" w:rsidRDefault="00E374DB" w:rsidP="00231C57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</w:tbl>
    <w:p w14:paraId="78261D7D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313B12BF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</w:t>
      </w:r>
      <w:r w:rsidR="006C71B5">
        <w:rPr>
          <w:rFonts w:ascii="Times New Roman" w:hAnsi="Times New Roman" w:cs="Times New Roman"/>
          <w:b/>
          <w:bCs/>
          <w:color w:val="FF0000"/>
          <w:szCs w:val="24"/>
        </w:rPr>
        <w:t>NONPROFIT</w:t>
      </w: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77777777" w:rsidR="00093F3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77777777" w:rsidR="00093F38" w:rsidRPr="0006572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77777777" w:rsidR="00B44822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30E3A094" w:rsidR="00093F38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07A1417D" w:rsidR="000A59F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A1434" w14:textId="2AC5E6C8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053362F9" w14:textId="1F68958B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0A3DB9FC" w14:textId="7D14ACC5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1D34F290" w14:textId="134A2E7F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1FE669BF" w14:textId="65739349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1DE63BA0" w14:textId="248A3661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6554E521" w14:textId="04E6FE2E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2CB1E05C" w14:textId="3EF9055C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724F6F63" w14:textId="6C71286A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4C2869A9" w14:textId="456A5BAD" w:rsid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1C4BC92D" w14:textId="22718835" w:rsidR="00D2440B" w:rsidRPr="00D2440B" w:rsidRDefault="00D2440B" w:rsidP="00D2440B">
      <w:pPr>
        <w:tabs>
          <w:tab w:val="left" w:pos="561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2440B" w:rsidRPr="00D2440B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A2CE" w14:textId="77777777" w:rsidR="000C01DA" w:rsidRDefault="000C01DA" w:rsidP="00404C8F">
      <w:pPr>
        <w:spacing w:after="0" w:line="240" w:lineRule="auto"/>
      </w:pPr>
      <w:r>
        <w:separator/>
      </w:r>
    </w:p>
  </w:endnote>
  <w:endnote w:type="continuationSeparator" w:id="0">
    <w:p w14:paraId="020056A9" w14:textId="77777777" w:rsidR="000C01DA" w:rsidRDefault="000C01DA" w:rsidP="00404C8F">
      <w:pPr>
        <w:spacing w:after="0" w:line="240" w:lineRule="auto"/>
      </w:pPr>
      <w:r>
        <w:continuationSeparator/>
      </w:r>
    </w:p>
  </w:endnote>
  <w:endnote w:type="continuationNotice" w:id="1">
    <w:p w14:paraId="18987135" w14:textId="77777777" w:rsidR="000C01DA" w:rsidRDefault="000C01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FB15A" w14:textId="424AEC39" w:rsidR="005144C3" w:rsidRDefault="006C71B5" w:rsidP="005144C3">
    <w:pPr>
      <w:pStyle w:val="Footer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i/>
        <w:sz w:val="20"/>
      </w:rPr>
      <w:t>HHS0013483</w:t>
    </w:r>
  </w:p>
  <w:p w14:paraId="0F73863E" w14:textId="77777777" w:rsidR="005144C3" w:rsidRPr="00927FE3" w:rsidRDefault="005144C3" w:rsidP="005144C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04F00" w14:textId="77777777" w:rsidR="000C01DA" w:rsidRDefault="000C01DA" w:rsidP="00404C8F">
      <w:pPr>
        <w:spacing w:after="0" w:line="240" w:lineRule="auto"/>
      </w:pPr>
      <w:r>
        <w:separator/>
      </w:r>
    </w:p>
  </w:footnote>
  <w:footnote w:type="continuationSeparator" w:id="0">
    <w:p w14:paraId="47618161" w14:textId="77777777" w:rsidR="000C01DA" w:rsidRDefault="000C01DA" w:rsidP="00404C8F">
      <w:pPr>
        <w:spacing w:after="0" w:line="240" w:lineRule="auto"/>
      </w:pPr>
      <w:r>
        <w:continuationSeparator/>
      </w:r>
    </w:p>
  </w:footnote>
  <w:footnote w:type="continuationNotice" w:id="1">
    <w:p w14:paraId="4C6046DA" w14:textId="77777777" w:rsidR="000C01DA" w:rsidRDefault="000C01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A909" w14:textId="77777777" w:rsidR="00575520" w:rsidRDefault="00575520" w:rsidP="00404C8F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9F5"/>
    <w:rsid w:val="000627F3"/>
    <w:rsid w:val="00065728"/>
    <w:rsid w:val="00093F38"/>
    <w:rsid w:val="000A1953"/>
    <w:rsid w:val="000A59F8"/>
    <w:rsid w:val="000C01DA"/>
    <w:rsid w:val="000F39CE"/>
    <w:rsid w:val="000F79BF"/>
    <w:rsid w:val="00103D51"/>
    <w:rsid w:val="001234E4"/>
    <w:rsid w:val="0012629C"/>
    <w:rsid w:val="0013621E"/>
    <w:rsid w:val="00153017"/>
    <w:rsid w:val="00156E06"/>
    <w:rsid w:val="001704BE"/>
    <w:rsid w:val="0018451E"/>
    <w:rsid w:val="0019425C"/>
    <w:rsid w:val="001A7750"/>
    <w:rsid w:val="001B11E0"/>
    <w:rsid w:val="001B229C"/>
    <w:rsid w:val="001C3F0E"/>
    <w:rsid w:val="001F742B"/>
    <w:rsid w:val="00200578"/>
    <w:rsid w:val="002170A3"/>
    <w:rsid w:val="00231C57"/>
    <w:rsid w:val="00231E81"/>
    <w:rsid w:val="00244FD9"/>
    <w:rsid w:val="00256DBE"/>
    <w:rsid w:val="002573FE"/>
    <w:rsid w:val="00257566"/>
    <w:rsid w:val="0028494F"/>
    <w:rsid w:val="002A440E"/>
    <w:rsid w:val="002A79D0"/>
    <w:rsid w:val="002B5ED9"/>
    <w:rsid w:val="002B634E"/>
    <w:rsid w:val="002C5643"/>
    <w:rsid w:val="002D0D87"/>
    <w:rsid w:val="002D50DB"/>
    <w:rsid w:val="002F338B"/>
    <w:rsid w:val="00306CF5"/>
    <w:rsid w:val="003227A9"/>
    <w:rsid w:val="003249F5"/>
    <w:rsid w:val="00334F7E"/>
    <w:rsid w:val="00356A8F"/>
    <w:rsid w:val="003A0362"/>
    <w:rsid w:val="003A077E"/>
    <w:rsid w:val="003A2AD7"/>
    <w:rsid w:val="003D3677"/>
    <w:rsid w:val="00400B12"/>
    <w:rsid w:val="004018CA"/>
    <w:rsid w:val="00404C8F"/>
    <w:rsid w:val="00405EED"/>
    <w:rsid w:val="00433489"/>
    <w:rsid w:val="004532B3"/>
    <w:rsid w:val="00464790"/>
    <w:rsid w:val="004660E0"/>
    <w:rsid w:val="0046715C"/>
    <w:rsid w:val="00472BA5"/>
    <w:rsid w:val="004C1E1E"/>
    <w:rsid w:val="004C741A"/>
    <w:rsid w:val="004D20DF"/>
    <w:rsid w:val="004E0B31"/>
    <w:rsid w:val="005027BE"/>
    <w:rsid w:val="00503A8E"/>
    <w:rsid w:val="005144C3"/>
    <w:rsid w:val="00522C0F"/>
    <w:rsid w:val="00537EC4"/>
    <w:rsid w:val="00575520"/>
    <w:rsid w:val="005822C7"/>
    <w:rsid w:val="005A2017"/>
    <w:rsid w:val="005A4F26"/>
    <w:rsid w:val="005C2A77"/>
    <w:rsid w:val="005D09D0"/>
    <w:rsid w:val="005D56E3"/>
    <w:rsid w:val="005E319A"/>
    <w:rsid w:val="00600828"/>
    <w:rsid w:val="0060178F"/>
    <w:rsid w:val="00622CF1"/>
    <w:rsid w:val="006246ED"/>
    <w:rsid w:val="006303AC"/>
    <w:rsid w:val="00641635"/>
    <w:rsid w:val="006612E5"/>
    <w:rsid w:val="006A3BE7"/>
    <w:rsid w:val="006A5C38"/>
    <w:rsid w:val="006A606A"/>
    <w:rsid w:val="006B0594"/>
    <w:rsid w:val="006C71B5"/>
    <w:rsid w:val="006D3406"/>
    <w:rsid w:val="006E6ABF"/>
    <w:rsid w:val="006F4002"/>
    <w:rsid w:val="00700DAD"/>
    <w:rsid w:val="0070388B"/>
    <w:rsid w:val="00717DA6"/>
    <w:rsid w:val="00785088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41E6C"/>
    <w:rsid w:val="00863AA2"/>
    <w:rsid w:val="00873333"/>
    <w:rsid w:val="00880249"/>
    <w:rsid w:val="00896B15"/>
    <w:rsid w:val="008A59B3"/>
    <w:rsid w:val="008E643C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8162E"/>
    <w:rsid w:val="009A0B24"/>
    <w:rsid w:val="009B528D"/>
    <w:rsid w:val="00A011B4"/>
    <w:rsid w:val="00A029FC"/>
    <w:rsid w:val="00A41CBE"/>
    <w:rsid w:val="00A54447"/>
    <w:rsid w:val="00A776C4"/>
    <w:rsid w:val="00A97423"/>
    <w:rsid w:val="00AA5076"/>
    <w:rsid w:val="00AC58F9"/>
    <w:rsid w:val="00AD3031"/>
    <w:rsid w:val="00AE7907"/>
    <w:rsid w:val="00AF0D36"/>
    <w:rsid w:val="00AF63B1"/>
    <w:rsid w:val="00B21C34"/>
    <w:rsid w:val="00B32380"/>
    <w:rsid w:val="00B37C1E"/>
    <w:rsid w:val="00B44822"/>
    <w:rsid w:val="00B520FF"/>
    <w:rsid w:val="00B52445"/>
    <w:rsid w:val="00B553E0"/>
    <w:rsid w:val="00B709DA"/>
    <w:rsid w:val="00B81E38"/>
    <w:rsid w:val="00B90255"/>
    <w:rsid w:val="00BB5602"/>
    <w:rsid w:val="00BF0631"/>
    <w:rsid w:val="00BF2140"/>
    <w:rsid w:val="00C27000"/>
    <w:rsid w:val="00C52E63"/>
    <w:rsid w:val="00C61512"/>
    <w:rsid w:val="00C649EF"/>
    <w:rsid w:val="00C839DD"/>
    <w:rsid w:val="00C9666C"/>
    <w:rsid w:val="00CC6A73"/>
    <w:rsid w:val="00CD3A48"/>
    <w:rsid w:val="00CD7E1A"/>
    <w:rsid w:val="00CE5A67"/>
    <w:rsid w:val="00CF0302"/>
    <w:rsid w:val="00CF10E1"/>
    <w:rsid w:val="00D2440B"/>
    <w:rsid w:val="00D3342E"/>
    <w:rsid w:val="00D52D63"/>
    <w:rsid w:val="00D55B35"/>
    <w:rsid w:val="00D657D9"/>
    <w:rsid w:val="00D70F30"/>
    <w:rsid w:val="00D746F0"/>
    <w:rsid w:val="00DB62BD"/>
    <w:rsid w:val="00DE1718"/>
    <w:rsid w:val="00DF26CF"/>
    <w:rsid w:val="00DF7C1B"/>
    <w:rsid w:val="00E13611"/>
    <w:rsid w:val="00E14875"/>
    <w:rsid w:val="00E32914"/>
    <w:rsid w:val="00E34915"/>
    <w:rsid w:val="00E374DB"/>
    <w:rsid w:val="00E5079D"/>
    <w:rsid w:val="00E635AB"/>
    <w:rsid w:val="00E76C63"/>
    <w:rsid w:val="00E82DE6"/>
    <w:rsid w:val="00E845E6"/>
    <w:rsid w:val="00EC36DF"/>
    <w:rsid w:val="00EC53E3"/>
    <w:rsid w:val="00EE641B"/>
    <w:rsid w:val="00EE6D50"/>
    <w:rsid w:val="00EF22EB"/>
    <w:rsid w:val="00EF5E93"/>
    <w:rsid w:val="00EF6521"/>
    <w:rsid w:val="00F12D53"/>
    <w:rsid w:val="00F255ED"/>
    <w:rsid w:val="00F35408"/>
    <w:rsid w:val="00F60E90"/>
    <w:rsid w:val="00F71ABF"/>
    <w:rsid w:val="00F77C89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4D7D1ED4546A4682960923D70B6409" ma:contentTypeVersion="13" ma:contentTypeDescription="Create a new document." ma:contentTypeScope="" ma:versionID="a80d637f18ea5f4dd743805696727f3e">
  <xsd:schema xmlns:xsd="http://www.w3.org/2001/XMLSchema" xmlns:xs="http://www.w3.org/2001/XMLSchema" xmlns:p="http://schemas.microsoft.com/office/2006/metadata/properties" xmlns:ns2="9c1c556a-7228-4426-b6cf-22f940232756" xmlns:ns3="051823d8-03c3-429a-b9e7-db8d01edcdbd" xmlns:ns4="d853a810-d2a2-4c28-9ad9-9100c9a22e04" targetNamespace="http://schemas.microsoft.com/office/2006/metadata/properties" ma:root="true" ma:fieldsID="4787e4bb552d8efe8899ad9ced2377bd" ns2:_="" ns3:_="" ns4:_="">
    <xsd:import namespace="9c1c556a-7228-4426-b6cf-22f940232756"/>
    <xsd:import namespace="051823d8-03c3-429a-b9e7-db8d01edcdbd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c556a-7228-4426-b6cf-22f940232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23d8-03c3-429a-b9e7-db8d01edc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d0c286d-74a3-4629-944e-d3adf7224b01}" ma:internalName="TaxCatchAll" ma:showField="CatchAllData" ma:web="051823d8-03c3-429a-b9e7-db8d01edc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9c1c556a-7228-4426-b6cf-22f94023275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A8B0D0-0696-4876-AACD-3D1A5CACD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c556a-7228-4426-b6cf-22f940232756"/>
    <ds:schemaRef ds:uri="051823d8-03c3-429a-b9e7-db8d01edcdbd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customXml/itemProps3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Solis,Julia I (HHSC)</cp:lastModifiedBy>
  <cp:revision>3</cp:revision>
  <dcterms:created xsi:type="dcterms:W3CDTF">2023-11-07T00:18:00Z</dcterms:created>
  <dcterms:modified xsi:type="dcterms:W3CDTF">2023-11-07T15:19:00Z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0x010100F44D7D1ED4546A4682960923D70B6409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