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289A" w14:textId="26E6C930" w:rsidR="00F976A6" w:rsidRPr="003020B4" w:rsidRDefault="003020B4" w:rsidP="003020B4">
      <w:pPr>
        <w:spacing w:after="0" w:line="240" w:lineRule="auto"/>
        <w:jc w:val="center"/>
        <w:rPr>
          <w:rFonts w:ascii="Verdana" w:hAnsi="Verdana"/>
          <w:b/>
          <w:bCs/>
          <w:sz w:val="28"/>
          <w:szCs w:val="28"/>
        </w:rPr>
      </w:pPr>
      <w:r>
        <w:rPr>
          <w:noProof/>
        </w:rPr>
        <w:drawing>
          <wp:anchor distT="0" distB="0" distL="114300" distR="114300" simplePos="0" relativeHeight="251658240" behindDoc="0" locked="0" layoutInCell="1" allowOverlap="1" wp14:anchorId="75B1406D" wp14:editId="7C42D5A4">
            <wp:simplePos x="914400" y="914400"/>
            <wp:positionH relativeFrom="column">
              <wp:align>left</wp:align>
            </wp:positionH>
            <wp:positionV relativeFrom="paragraph">
              <wp:align>top</wp:align>
            </wp:positionV>
            <wp:extent cx="109537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anchor>
        </w:drawing>
      </w:r>
      <w:r w:rsidRPr="003020B4">
        <w:rPr>
          <w:rFonts w:ascii="Verdana" w:hAnsi="Verdana"/>
          <w:b/>
          <w:bCs/>
          <w:sz w:val="28"/>
          <w:szCs w:val="28"/>
        </w:rPr>
        <w:t>TEXAS DEPARTMENT OF FAMILY AND PROTECTIVE SERVICES</w:t>
      </w:r>
    </w:p>
    <w:p w14:paraId="0F08FBE9" w14:textId="77777777" w:rsidR="00997399" w:rsidRDefault="00997399" w:rsidP="003020B4">
      <w:pPr>
        <w:spacing w:after="0" w:line="240" w:lineRule="auto"/>
        <w:jc w:val="center"/>
        <w:rPr>
          <w:rFonts w:ascii="Verdana" w:hAnsi="Verdana"/>
          <w:b/>
          <w:bCs/>
          <w:sz w:val="28"/>
          <w:szCs w:val="28"/>
          <w:u w:val="single"/>
        </w:rPr>
      </w:pPr>
    </w:p>
    <w:p w14:paraId="4102D1E0" w14:textId="77777777" w:rsidR="00997399" w:rsidRDefault="00997399" w:rsidP="003020B4">
      <w:pPr>
        <w:spacing w:after="0" w:line="240" w:lineRule="auto"/>
        <w:jc w:val="center"/>
        <w:rPr>
          <w:rFonts w:ascii="Verdana" w:hAnsi="Verdana"/>
          <w:b/>
          <w:bCs/>
          <w:sz w:val="28"/>
          <w:szCs w:val="28"/>
          <w:u w:val="single"/>
        </w:rPr>
      </w:pPr>
    </w:p>
    <w:p w14:paraId="6B09C229" w14:textId="77777777" w:rsidR="00997399" w:rsidRDefault="00997399" w:rsidP="003020B4">
      <w:pPr>
        <w:spacing w:after="0" w:line="240" w:lineRule="auto"/>
        <w:jc w:val="center"/>
        <w:rPr>
          <w:rFonts w:ascii="Verdana" w:hAnsi="Verdana"/>
          <w:b/>
          <w:bCs/>
          <w:sz w:val="28"/>
          <w:szCs w:val="28"/>
          <w:u w:val="single"/>
        </w:rPr>
      </w:pPr>
    </w:p>
    <w:p w14:paraId="4574B31B" w14:textId="77777777" w:rsidR="00997399" w:rsidRDefault="00997399" w:rsidP="003020B4">
      <w:pPr>
        <w:spacing w:after="0" w:line="240" w:lineRule="auto"/>
        <w:jc w:val="center"/>
        <w:rPr>
          <w:rFonts w:ascii="Verdana" w:hAnsi="Verdana"/>
          <w:b/>
          <w:bCs/>
          <w:sz w:val="28"/>
          <w:szCs w:val="28"/>
          <w:u w:val="single"/>
        </w:rPr>
      </w:pPr>
    </w:p>
    <w:p w14:paraId="32A94FF9" w14:textId="77777777" w:rsidR="00997399" w:rsidRDefault="00997399" w:rsidP="003020B4">
      <w:pPr>
        <w:spacing w:after="0" w:line="240" w:lineRule="auto"/>
        <w:jc w:val="center"/>
        <w:rPr>
          <w:rFonts w:ascii="Verdana" w:hAnsi="Verdana"/>
          <w:b/>
          <w:bCs/>
          <w:sz w:val="28"/>
          <w:szCs w:val="28"/>
          <w:u w:val="single"/>
        </w:rPr>
      </w:pPr>
    </w:p>
    <w:p w14:paraId="263139E3" w14:textId="77777777" w:rsidR="00997399" w:rsidRDefault="00997399" w:rsidP="003020B4">
      <w:pPr>
        <w:spacing w:after="0" w:line="240" w:lineRule="auto"/>
        <w:jc w:val="center"/>
        <w:rPr>
          <w:rFonts w:ascii="Verdana" w:hAnsi="Verdana"/>
          <w:b/>
          <w:bCs/>
          <w:sz w:val="28"/>
          <w:szCs w:val="28"/>
          <w:u w:val="single"/>
        </w:rPr>
      </w:pPr>
    </w:p>
    <w:p w14:paraId="46FC94FA" w14:textId="77777777" w:rsidR="00997399" w:rsidRDefault="00997399" w:rsidP="003020B4">
      <w:pPr>
        <w:spacing w:after="0" w:line="240" w:lineRule="auto"/>
        <w:jc w:val="center"/>
        <w:rPr>
          <w:rFonts w:ascii="Verdana" w:hAnsi="Verdana"/>
          <w:b/>
          <w:bCs/>
          <w:sz w:val="28"/>
          <w:szCs w:val="28"/>
          <w:u w:val="single"/>
        </w:rPr>
      </w:pPr>
    </w:p>
    <w:p w14:paraId="44B30CC6" w14:textId="498679D4" w:rsidR="003020B4" w:rsidRPr="003020B4" w:rsidRDefault="003020B4" w:rsidP="00997399">
      <w:pPr>
        <w:spacing w:after="0" w:line="240" w:lineRule="auto"/>
        <w:jc w:val="center"/>
        <w:rPr>
          <w:rFonts w:ascii="Verdana" w:hAnsi="Verdana"/>
          <w:b/>
          <w:bCs/>
          <w:sz w:val="28"/>
          <w:szCs w:val="28"/>
          <w:u w:val="single"/>
        </w:rPr>
      </w:pPr>
      <w:r w:rsidRPr="003020B4">
        <w:rPr>
          <w:rFonts w:ascii="Verdana" w:hAnsi="Verdana"/>
          <w:b/>
          <w:bCs/>
          <w:sz w:val="28"/>
          <w:szCs w:val="28"/>
          <w:u w:val="single"/>
        </w:rPr>
        <w:t>ADDENDA</w:t>
      </w:r>
    </w:p>
    <w:p w14:paraId="6DD9D800" w14:textId="337409E8" w:rsidR="003020B4" w:rsidRPr="003020B4" w:rsidRDefault="003020B4" w:rsidP="00997399">
      <w:pPr>
        <w:spacing w:after="0" w:line="240" w:lineRule="auto"/>
        <w:jc w:val="center"/>
        <w:rPr>
          <w:rFonts w:ascii="Verdana" w:hAnsi="Verdana"/>
          <w:b/>
          <w:bCs/>
          <w:sz w:val="28"/>
          <w:szCs w:val="28"/>
        </w:rPr>
      </w:pPr>
      <w:r w:rsidRPr="003020B4">
        <w:rPr>
          <w:rFonts w:ascii="Verdana" w:hAnsi="Verdana"/>
          <w:b/>
          <w:bCs/>
          <w:sz w:val="28"/>
          <w:szCs w:val="28"/>
        </w:rPr>
        <w:t>To</w:t>
      </w:r>
    </w:p>
    <w:p w14:paraId="05ACD0C5" w14:textId="66C16A14" w:rsidR="003020B4" w:rsidRPr="003020B4" w:rsidRDefault="003020B4" w:rsidP="00997399">
      <w:pPr>
        <w:spacing w:after="0" w:line="240" w:lineRule="auto"/>
        <w:jc w:val="center"/>
        <w:rPr>
          <w:rFonts w:ascii="Verdana" w:hAnsi="Verdana"/>
          <w:b/>
          <w:bCs/>
          <w:sz w:val="28"/>
          <w:szCs w:val="28"/>
        </w:rPr>
      </w:pPr>
      <w:r w:rsidRPr="003020B4">
        <w:rPr>
          <w:rFonts w:ascii="Verdana" w:hAnsi="Verdana"/>
          <w:b/>
          <w:bCs/>
          <w:sz w:val="28"/>
          <w:szCs w:val="28"/>
        </w:rPr>
        <w:t>Open Enrollment</w:t>
      </w:r>
    </w:p>
    <w:p w14:paraId="21038C61" w14:textId="69E862F8" w:rsidR="003020B4" w:rsidRDefault="005622A3" w:rsidP="00997399">
      <w:pPr>
        <w:spacing w:after="0" w:line="240" w:lineRule="auto"/>
        <w:jc w:val="center"/>
        <w:rPr>
          <w:rFonts w:ascii="Verdana" w:hAnsi="Verdana"/>
          <w:b/>
          <w:bCs/>
          <w:sz w:val="28"/>
          <w:szCs w:val="28"/>
        </w:rPr>
      </w:pPr>
      <w:r w:rsidRPr="005622A3">
        <w:rPr>
          <w:rFonts w:ascii="Verdana" w:hAnsi="Verdana"/>
          <w:b/>
          <w:bCs/>
          <w:sz w:val="28"/>
          <w:szCs w:val="28"/>
        </w:rPr>
        <w:t>HHS0011158</w:t>
      </w:r>
    </w:p>
    <w:p w14:paraId="18D28730" w14:textId="5F98E9EB" w:rsidR="00997399" w:rsidRDefault="00997399" w:rsidP="00997399">
      <w:pPr>
        <w:spacing w:after="0" w:line="240" w:lineRule="auto"/>
        <w:jc w:val="center"/>
        <w:rPr>
          <w:rFonts w:ascii="Verdana" w:hAnsi="Verdana"/>
          <w:b/>
          <w:bCs/>
          <w:sz w:val="28"/>
          <w:szCs w:val="28"/>
        </w:rPr>
      </w:pPr>
    </w:p>
    <w:p w14:paraId="0852C008" w14:textId="77777777" w:rsidR="00997399" w:rsidRPr="003020B4" w:rsidRDefault="00997399" w:rsidP="00997399">
      <w:pPr>
        <w:spacing w:after="0" w:line="240" w:lineRule="auto"/>
        <w:jc w:val="center"/>
        <w:rPr>
          <w:rFonts w:ascii="Verdana" w:hAnsi="Verdana"/>
          <w:b/>
          <w:bCs/>
          <w:sz w:val="28"/>
          <w:szCs w:val="28"/>
        </w:rPr>
      </w:pPr>
    </w:p>
    <w:p w14:paraId="4E123854" w14:textId="672E00A3" w:rsidR="003020B4" w:rsidRPr="003020B4" w:rsidRDefault="003020B4" w:rsidP="00997399">
      <w:pPr>
        <w:spacing w:after="0" w:line="240" w:lineRule="auto"/>
        <w:jc w:val="center"/>
        <w:rPr>
          <w:rFonts w:ascii="Verdana" w:hAnsi="Verdana"/>
          <w:b/>
          <w:bCs/>
          <w:sz w:val="28"/>
          <w:szCs w:val="28"/>
        </w:rPr>
      </w:pPr>
      <w:r w:rsidRPr="003020B4">
        <w:rPr>
          <w:rFonts w:ascii="Verdana" w:hAnsi="Verdana"/>
          <w:b/>
          <w:bCs/>
          <w:sz w:val="28"/>
          <w:szCs w:val="28"/>
        </w:rPr>
        <w:t>For</w:t>
      </w:r>
    </w:p>
    <w:p w14:paraId="6ADB6A0B" w14:textId="17BC13AE" w:rsidR="003020B4" w:rsidRDefault="003020B4" w:rsidP="00997399">
      <w:pPr>
        <w:spacing w:after="0" w:line="240" w:lineRule="auto"/>
        <w:ind w:left="3600" w:firstLine="720"/>
        <w:rPr>
          <w:rFonts w:ascii="Verdana" w:hAnsi="Verdana"/>
          <w:b/>
          <w:bCs/>
          <w:sz w:val="28"/>
          <w:szCs w:val="28"/>
        </w:rPr>
      </w:pPr>
      <w:r w:rsidRPr="003020B4">
        <w:rPr>
          <w:rFonts w:ascii="Verdana" w:hAnsi="Verdana"/>
          <w:b/>
          <w:bCs/>
          <w:sz w:val="28"/>
          <w:szCs w:val="28"/>
        </w:rPr>
        <w:t xml:space="preserve">Substance </w:t>
      </w:r>
      <w:r w:rsidR="006F433F">
        <w:rPr>
          <w:rFonts w:ascii="Verdana" w:hAnsi="Verdana"/>
          <w:b/>
          <w:bCs/>
          <w:sz w:val="28"/>
          <w:szCs w:val="28"/>
        </w:rPr>
        <w:t xml:space="preserve">Use Disorder </w:t>
      </w:r>
      <w:r w:rsidRPr="003020B4">
        <w:rPr>
          <w:rFonts w:ascii="Verdana" w:hAnsi="Verdana"/>
          <w:b/>
          <w:bCs/>
          <w:sz w:val="28"/>
          <w:szCs w:val="28"/>
        </w:rPr>
        <w:t>Services</w:t>
      </w:r>
    </w:p>
    <w:p w14:paraId="0C55D215" w14:textId="77777777" w:rsidR="00997399" w:rsidRDefault="00997399" w:rsidP="00997399">
      <w:pPr>
        <w:spacing w:after="0" w:line="240" w:lineRule="auto"/>
        <w:ind w:left="3600" w:firstLine="720"/>
        <w:rPr>
          <w:rFonts w:ascii="Verdana" w:hAnsi="Verdana"/>
          <w:b/>
          <w:bCs/>
          <w:sz w:val="28"/>
          <w:szCs w:val="28"/>
        </w:rPr>
      </w:pPr>
    </w:p>
    <w:p w14:paraId="7B3D488C" w14:textId="77777777" w:rsidR="00997399" w:rsidRPr="00997399" w:rsidRDefault="00997399" w:rsidP="00997399">
      <w:pPr>
        <w:rPr>
          <w:rFonts w:ascii="Verdana" w:hAnsi="Verdana"/>
        </w:rPr>
      </w:pPr>
      <w:r w:rsidRPr="00997399">
        <w:rPr>
          <w:rFonts w:ascii="Verdana" w:hAnsi="Verdana"/>
          <w:color w:val="000000"/>
        </w:rPr>
        <w:t>Notice is hereby given to prospective applicants to the above referenced open enrollment that changes have been made to requirements or information in the open enrollment, as noted in the addenda below.</w:t>
      </w:r>
      <w:r>
        <w:rPr>
          <w:rFonts w:ascii="Verdana" w:hAnsi="Verdana"/>
          <w:color w:val="000000"/>
        </w:rPr>
        <w:t xml:space="preserve">  </w:t>
      </w:r>
      <w:r w:rsidRPr="00997399">
        <w:rPr>
          <w:rFonts w:ascii="Verdana" w:hAnsi="Verdana"/>
        </w:rPr>
        <w:t xml:space="preserve">Applicants can use this table to locate the most recent changes to the documents on the HHSC Open Enrollment web page and the ESBD.  Applicants should always use the latest documents when responding to a DFPS solicitation.  </w:t>
      </w:r>
    </w:p>
    <w:p w14:paraId="6AC689BD" w14:textId="79151486" w:rsidR="00997399" w:rsidRPr="00997399" w:rsidRDefault="00997399" w:rsidP="00997399">
      <w:pPr>
        <w:rPr>
          <w:rFonts w:ascii="Verdana" w:hAnsi="Verdana"/>
          <w:color w:val="000000"/>
        </w:rPr>
      </w:pPr>
    </w:p>
    <w:p w14:paraId="003A55A9" w14:textId="5D9F07C0" w:rsidR="00997399" w:rsidRDefault="00997399">
      <w:pPr>
        <w:rPr>
          <w:rFonts w:ascii="Verdana" w:hAnsi="Verdana"/>
          <w:b/>
          <w:bCs/>
          <w:sz w:val="28"/>
          <w:szCs w:val="28"/>
        </w:rPr>
      </w:pPr>
    </w:p>
    <w:p w14:paraId="5D9DAAF3" w14:textId="04B40539" w:rsidR="00997399" w:rsidRDefault="00997399">
      <w:pPr>
        <w:rPr>
          <w:rFonts w:ascii="Verdana" w:hAnsi="Verdana"/>
          <w:b/>
          <w:bCs/>
          <w:sz w:val="28"/>
          <w:szCs w:val="28"/>
        </w:rPr>
      </w:pPr>
    </w:p>
    <w:p w14:paraId="09390020" w14:textId="22DBD4CB" w:rsidR="00997399" w:rsidRDefault="00997399">
      <w:pPr>
        <w:rPr>
          <w:rFonts w:ascii="Verdana" w:hAnsi="Verdana"/>
          <w:b/>
          <w:bCs/>
          <w:sz w:val="28"/>
          <w:szCs w:val="28"/>
        </w:rPr>
      </w:pPr>
    </w:p>
    <w:tbl>
      <w:tblPr>
        <w:tblStyle w:val="TableGrid"/>
        <w:tblW w:w="0" w:type="auto"/>
        <w:tblLook w:val="04A0" w:firstRow="1" w:lastRow="0" w:firstColumn="1" w:lastColumn="0" w:noHBand="0" w:noVBand="1"/>
      </w:tblPr>
      <w:tblGrid>
        <w:gridCol w:w="1075"/>
        <w:gridCol w:w="3599"/>
        <w:gridCol w:w="3323"/>
        <w:gridCol w:w="4935"/>
      </w:tblGrid>
      <w:tr w:rsidR="004A5990" w:rsidRPr="006F433F" w14:paraId="659DF9B7" w14:textId="77777777" w:rsidTr="004A5990">
        <w:tc>
          <w:tcPr>
            <w:tcW w:w="12932" w:type="dxa"/>
            <w:gridSpan w:val="4"/>
            <w:shd w:val="clear" w:color="auto" w:fill="FFC000"/>
          </w:tcPr>
          <w:p w14:paraId="5123CDE0" w14:textId="4844AA48" w:rsidR="004A5990" w:rsidRPr="006F433F" w:rsidRDefault="004A5990" w:rsidP="004A5990">
            <w:pPr>
              <w:jc w:val="center"/>
              <w:rPr>
                <w:rFonts w:ascii="Verdana" w:hAnsi="Verdana" w:cs="Arial"/>
                <w:b/>
                <w:bCs/>
                <w:sz w:val="20"/>
                <w:szCs w:val="20"/>
              </w:rPr>
            </w:pPr>
            <w:r w:rsidRPr="006F433F">
              <w:rPr>
                <w:rFonts w:ascii="Verdana" w:hAnsi="Verdana" w:cs="Arial"/>
                <w:b/>
                <w:bCs/>
                <w:sz w:val="20"/>
                <w:szCs w:val="20"/>
              </w:rPr>
              <w:lastRenderedPageBreak/>
              <w:t>ADDENDUM #</w:t>
            </w:r>
            <w:r w:rsidR="005622A3">
              <w:rPr>
                <w:rFonts w:ascii="Verdana" w:hAnsi="Verdana" w:cs="Arial"/>
                <w:b/>
                <w:bCs/>
                <w:sz w:val="20"/>
                <w:szCs w:val="20"/>
              </w:rPr>
              <w:t>1</w:t>
            </w:r>
            <w:r w:rsidRPr="006F433F">
              <w:rPr>
                <w:rFonts w:ascii="Verdana" w:hAnsi="Verdana" w:cs="Arial"/>
                <w:b/>
                <w:bCs/>
                <w:sz w:val="20"/>
                <w:szCs w:val="20"/>
              </w:rPr>
              <w:t xml:space="preserve"> – </w:t>
            </w:r>
            <w:r w:rsidR="005622A3">
              <w:rPr>
                <w:rFonts w:ascii="Verdana" w:hAnsi="Verdana" w:cs="Arial"/>
                <w:b/>
                <w:bCs/>
                <w:sz w:val="20"/>
                <w:szCs w:val="20"/>
              </w:rPr>
              <w:t>AUGUST 26, 2022</w:t>
            </w:r>
          </w:p>
        </w:tc>
      </w:tr>
      <w:tr w:rsidR="004A5990" w:rsidRPr="006F433F" w14:paraId="2327A213" w14:textId="77777777" w:rsidTr="004A5990">
        <w:tc>
          <w:tcPr>
            <w:tcW w:w="1075" w:type="dxa"/>
          </w:tcPr>
          <w:p w14:paraId="7881DE88" w14:textId="77777777" w:rsidR="004A5990" w:rsidRPr="006F433F" w:rsidRDefault="004A5990" w:rsidP="004A5990">
            <w:pPr>
              <w:jc w:val="center"/>
              <w:rPr>
                <w:rFonts w:ascii="Verdana" w:hAnsi="Verdana"/>
                <w:b/>
                <w:bCs/>
                <w:sz w:val="20"/>
                <w:szCs w:val="20"/>
              </w:rPr>
            </w:pPr>
            <w:r w:rsidRPr="006F433F">
              <w:rPr>
                <w:rFonts w:ascii="Verdana" w:hAnsi="Verdana"/>
                <w:b/>
                <w:bCs/>
                <w:sz w:val="20"/>
                <w:szCs w:val="20"/>
              </w:rPr>
              <w:t>Item No.</w:t>
            </w:r>
          </w:p>
        </w:tc>
        <w:tc>
          <w:tcPr>
            <w:tcW w:w="3599" w:type="dxa"/>
          </w:tcPr>
          <w:p w14:paraId="29430DAE" w14:textId="77777777" w:rsidR="004A5990" w:rsidRPr="006F433F" w:rsidRDefault="004A5990" w:rsidP="004A5990">
            <w:pPr>
              <w:jc w:val="center"/>
              <w:rPr>
                <w:rFonts w:ascii="Verdana" w:hAnsi="Verdana"/>
                <w:b/>
                <w:bCs/>
                <w:sz w:val="20"/>
                <w:szCs w:val="20"/>
              </w:rPr>
            </w:pPr>
            <w:r w:rsidRPr="006F433F">
              <w:rPr>
                <w:rFonts w:ascii="Verdana" w:hAnsi="Verdana"/>
                <w:b/>
                <w:bCs/>
                <w:sz w:val="20"/>
                <w:szCs w:val="20"/>
              </w:rPr>
              <w:t>Reference</w:t>
            </w:r>
          </w:p>
        </w:tc>
        <w:tc>
          <w:tcPr>
            <w:tcW w:w="3323" w:type="dxa"/>
          </w:tcPr>
          <w:p w14:paraId="0C7092DF" w14:textId="77777777" w:rsidR="004A5990" w:rsidRPr="006F433F" w:rsidRDefault="004A5990" w:rsidP="004A5990">
            <w:pPr>
              <w:jc w:val="center"/>
              <w:rPr>
                <w:rFonts w:ascii="Verdana" w:hAnsi="Verdana"/>
                <w:b/>
                <w:bCs/>
                <w:sz w:val="20"/>
                <w:szCs w:val="20"/>
              </w:rPr>
            </w:pPr>
            <w:r w:rsidRPr="006F433F">
              <w:rPr>
                <w:rFonts w:ascii="Verdana" w:hAnsi="Verdana"/>
                <w:b/>
                <w:bCs/>
                <w:sz w:val="20"/>
                <w:szCs w:val="20"/>
              </w:rPr>
              <w:t>Previous Information</w:t>
            </w:r>
          </w:p>
        </w:tc>
        <w:tc>
          <w:tcPr>
            <w:tcW w:w="4935" w:type="dxa"/>
          </w:tcPr>
          <w:p w14:paraId="55BF3380" w14:textId="77777777" w:rsidR="004A5990" w:rsidRPr="006F433F" w:rsidRDefault="004A5990" w:rsidP="004A5990">
            <w:pPr>
              <w:jc w:val="center"/>
              <w:rPr>
                <w:rFonts w:ascii="Verdana" w:hAnsi="Verdana" w:cs="Arial"/>
                <w:b/>
                <w:bCs/>
                <w:sz w:val="20"/>
                <w:szCs w:val="20"/>
              </w:rPr>
            </w:pPr>
            <w:r w:rsidRPr="006F433F">
              <w:rPr>
                <w:rFonts w:ascii="Verdana" w:hAnsi="Verdana" w:cs="Arial"/>
                <w:b/>
                <w:bCs/>
                <w:sz w:val="20"/>
                <w:szCs w:val="20"/>
              </w:rPr>
              <w:t>Revised Information</w:t>
            </w:r>
          </w:p>
        </w:tc>
      </w:tr>
      <w:tr w:rsidR="001C219A" w:rsidRPr="00F976A6" w14:paraId="0C5081EC" w14:textId="77777777" w:rsidTr="006F433F">
        <w:trPr>
          <w:trHeight w:val="70"/>
        </w:trPr>
        <w:tc>
          <w:tcPr>
            <w:tcW w:w="1075" w:type="dxa"/>
            <w:tcBorders>
              <w:top w:val="single" w:sz="4" w:space="0" w:color="auto"/>
              <w:left w:val="single" w:sz="4" w:space="0" w:color="auto"/>
              <w:bottom w:val="single" w:sz="4" w:space="0" w:color="auto"/>
              <w:right w:val="single" w:sz="4" w:space="0" w:color="auto"/>
            </w:tcBorders>
          </w:tcPr>
          <w:p w14:paraId="0C1D7523" w14:textId="77777777" w:rsidR="001C219A" w:rsidRPr="006F433F" w:rsidRDefault="001C219A" w:rsidP="001C219A">
            <w:pPr>
              <w:spacing w:line="276" w:lineRule="auto"/>
              <w:ind w:left="236" w:right="-209"/>
              <w:rPr>
                <w:rFonts w:ascii="Verdana" w:hAnsi="Verdana" w:cs="Arial"/>
                <w:sz w:val="20"/>
                <w:szCs w:val="20"/>
              </w:rPr>
            </w:pPr>
            <w:r w:rsidRPr="006F433F">
              <w:rPr>
                <w:rFonts w:ascii="Verdana" w:hAnsi="Verdana" w:cs="Arial"/>
                <w:sz w:val="20"/>
                <w:szCs w:val="20"/>
              </w:rPr>
              <w:t>1.</w:t>
            </w:r>
          </w:p>
        </w:tc>
        <w:tc>
          <w:tcPr>
            <w:tcW w:w="3599" w:type="dxa"/>
            <w:tcBorders>
              <w:top w:val="single" w:sz="4" w:space="0" w:color="auto"/>
              <w:left w:val="single" w:sz="4" w:space="0" w:color="auto"/>
              <w:bottom w:val="single" w:sz="4" w:space="0" w:color="auto"/>
              <w:right w:val="single" w:sz="4" w:space="0" w:color="auto"/>
            </w:tcBorders>
          </w:tcPr>
          <w:p w14:paraId="3B2ABC59" w14:textId="77777777" w:rsidR="005C4E7E" w:rsidRDefault="005C4E7E" w:rsidP="001C219A">
            <w:pPr>
              <w:spacing w:line="276" w:lineRule="auto"/>
              <w:rPr>
                <w:rFonts w:ascii="Verdana" w:hAnsi="Verdana" w:cs="Arial"/>
                <w:color w:val="000000"/>
                <w:sz w:val="20"/>
                <w:szCs w:val="20"/>
              </w:rPr>
            </w:pPr>
            <w:r>
              <w:rPr>
                <w:rFonts w:ascii="Verdana" w:hAnsi="Verdana" w:cs="Arial"/>
                <w:color w:val="000000"/>
                <w:sz w:val="20"/>
                <w:szCs w:val="20"/>
              </w:rPr>
              <w:t>Section 3.2.2 (B) Table 3 – Fee Schedule for Substance Use Disorders</w:t>
            </w:r>
          </w:p>
          <w:p w14:paraId="1A2AAB84" w14:textId="77777777" w:rsidR="005C4E7E" w:rsidRDefault="005C4E7E" w:rsidP="001C219A">
            <w:pPr>
              <w:spacing w:line="276" w:lineRule="auto"/>
              <w:rPr>
                <w:rFonts w:ascii="Verdana" w:hAnsi="Verdana" w:cs="Arial"/>
                <w:color w:val="000000"/>
                <w:sz w:val="20"/>
                <w:szCs w:val="20"/>
              </w:rPr>
            </w:pPr>
          </w:p>
          <w:p w14:paraId="61236CAC" w14:textId="71886F81" w:rsidR="005C4E7E" w:rsidRPr="006F433F" w:rsidRDefault="005C4E7E" w:rsidP="005C4E7E">
            <w:pPr>
              <w:spacing w:line="276" w:lineRule="auto"/>
              <w:rPr>
                <w:rFonts w:ascii="Verdana" w:hAnsi="Verdana" w:cs="Arial"/>
                <w:color w:val="000000"/>
                <w:sz w:val="20"/>
                <w:szCs w:val="20"/>
              </w:rPr>
            </w:pPr>
          </w:p>
        </w:tc>
        <w:tc>
          <w:tcPr>
            <w:tcW w:w="3323" w:type="dxa"/>
            <w:tcBorders>
              <w:top w:val="single" w:sz="4" w:space="0" w:color="auto"/>
              <w:left w:val="single" w:sz="4" w:space="0" w:color="auto"/>
              <w:bottom w:val="single" w:sz="4" w:space="0" w:color="auto"/>
              <w:right w:val="single" w:sz="4" w:space="0" w:color="auto"/>
            </w:tcBorders>
          </w:tcPr>
          <w:p w14:paraId="77A0107F" w14:textId="77777777" w:rsidR="005C4E7E" w:rsidRDefault="005C4E7E" w:rsidP="005C4E7E">
            <w:pPr>
              <w:spacing w:line="276" w:lineRule="auto"/>
              <w:rPr>
                <w:rFonts w:ascii="Verdana" w:hAnsi="Verdana" w:cs="Arial"/>
                <w:sz w:val="20"/>
                <w:szCs w:val="20"/>
              </w:rPr>
            </w:pPr>
            <w:r>
              <w:rPr>
                <w:rFonts w:ascii="Verdana" w:hAnsi="Verdana" w:cs="Arial"/>
                <w:sz w:val="20"/>
                <w:szCs w:val="20"/>
              </w:rPr>
              <w:t>Case Specific Diagnostic Consultation DFPS Service Code 81H</w:t>
            </w:r>
          </w:p>
          <w:p w14:paraId="270CDBBA" w14:textId="62B5E85D" w:rsidR="001C219A" w:rsidRPr="006F433F" w:rsidRDefault="001C219A" w:rsidP="001C219A">
            <w:pPr>
              <w:spacing w:line="276" w:lineRule="auto"/>
              <w:ind w:left="485" w:hanging="288"/>
              <w:rPr>
                <w:rFonts w:ascii="Verdana" w:hAnsi="Verdana" w:cs="Arial"/>
                <w:noProof/>
                <w:sz w:val="20"/>
                <w:szCs w:val="20"/>
              </w:rPr>
            </w:pPr>
          </w:p>
        </w:tc>
        <w:tc>
          <w:tcPr>
            <w:tcW w:w="4935" w:type="dxa"/>
            <w:tcBorders>
              <w:top w:val="single" w:sz="4" w:space="0" w:color="auto"/>
              <w:left w:val="single" w:sz="4" w:space="0" w:color="auto"/>
              <w:bottom w:val="single" w:sz="4" w:space="0" w:color="auto"/>
              <w:right w:val="single" w:sz="4" w:space="0" w:color="auto"/>
            </w:tcBorders>
          </w:tcPr>
          <w:p w14:paraId="3FC54F37" w14:textId="43B5B340" w:rsidR="005C4E7E" w:rsidRDefault="005C4E7E" w:rsidP="005C4E7E">
            <w:pPr>
              <w:spacing w:line="276" w:lineRule="auto"/>
              <w:rPr>
                <w:rFonts w:ascii="Verdana" w:hAnsi="Verdana" w:cs="Arial"/>
                <w:sz w:val="20"/>
                <w:szCs w:val="20"/>
              </w:rPr>
            </w:pPr>
            <w:r>
              <w:rPr>
                <w:rFonts w:ascii="Verdana" w:hAnsi="Verdana" w:cs="Arial"/>
                <w:sz w:val="20"/>
                <w:szCs w:val="20"/>
              </w:rPr>
              <w:t>Case Specific Diagnostic Consultation DFPS Service Code 81H has been updated to Case Specific Diagnostic Consultation DFPS Service Code 83K</w:t>
            </w:r>
          </w:p>
          <w:p w14:paraId="33562EDC" w14:textId="52A5DABC" w:rsidR="001C219A" w:rsidRPr="006F433F" w:rsidRDefault="001C219A" w:rsidP="001C219A">
            <w:pPr>
              <w:tabs>
                <w:tab w:val="left" w:pos="72"/>
              </w:tabs>
              <w:spacing w:line="276" w:lineRule="auto"/>
              <w:ind w:right="360"/>
              <w:rPr>
                <w:rFonts w:ascii="Verdana" w:hAnsi="Verdana" w:cs="Arial"/>
                <w:sz w:val="20"/>
                <w:szCs w:val="20"/>
              </w:rPr>
            </w:pPr>
          </w:p>
        </w:tc>
      </w:tr>
    </w:tbl>
    <w:p w14:paraId="0794DF9A" w14:textId="77777777" w:rsidR="00F976A6" w:rsidRPr="00F976A6" w:rsidRDefault="00F976A6">
      <w:pPr>
        <w:rPr>
          <w:rFonts w:ascii="Verdana" w:hAnsi="Verdana"/>
        </w:rPr>
      </w:pPr>
    </w:p>
    <w:sectPr w:rsidR="00F976A6" w:rsidRPr="00F976A6" w:rsidSect="00F976A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4959" w14:textId="77777777" w:rsidR="003D601A" w:rsidRDefault="003D601A" w:rsidP="00997399">
      <w:pPr>
        <w:spacing w:after="0" w:line="240" w:lineRule="auto"/>
      </w:pPr>
      <w:r>
        <w:separator/>
      </w:r>
    </w:p>
  </w:endnote>
  <w:endnote w:type="continuationSeparator" w:id="0">
    <w:p w14:paraId="2ADE26BA" w14:textId="77777777" w:rsidR="003D601A" w:rsidRDefault="003D601A" w:rsidP="0099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6A18" w14:textId="1C523E2D" w:rsidR="004A5990" w:rsidRDefault="005622A3">
    <w:pPr>
      <w:pStyle w:val="Footer"/>
    </w:pPr>
    <w:r>
      <w:t>0</w:t>
    </w:r>
    <w:r w:rsidR="00532E6C">
      <w:t>9</w:t>
    </w:r>
    <w:r>
      <w:t>/</w:t>
    </w:r>
    <w:r w:rsidR="00532E6C">
      <w:t>01</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815B" w14:textId="77777777" w:rsidR="003D601A" w:rsidRDefault="003D601A" w:rsidP="00997399">
      <w:pPr>
        <w:spacing w:after="0" w:line="240" w:lineRule="auto"/>
      </w:pPr>
      <w:r>
        <w:separator/>
      </w:r>
    </w:p>
  </w:footnote>
  <w:footnote w:type="continuationSeparator" w:id="0">
    <w:p w14:paraId="42B273A3" w14:textId="77777777" w:rsidR="003D601A" w:rsidRDefault="003D601A" w:rsidP="00997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A6"/>
    <w:rsid w:val="001C219A"/>
    <w:rsid w:val="001D059E"/>
    <w:rsid w:val="003020B4"/>
    <w:rsid w:val="00385825"/>
    <w:rsid w:val="003D601A"/>
    <w:rsid w:val="004667B6"/>
    <w:rsid w:val="004A5990"/>
    <w:rsid w:val="00532E6C"/>
    <w:rsid w:val="005622A3"/>
    <w:rsid w:val="005C4E7E"/>
    <w:rsid w:val="005D37CF"/>
    <w:rsid w:val="006F433F"/>
    <w:rsid w:val="008C6B44"/>
    <w:rsid w:val="00997399"/>
    <w:rsid w:val="00A82BBA"/>
    <w:rsid w:val="00BB72DC"/>
    <w:rsid w:val="00F9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405F"/>
  <w15:chartTrackingRefBased/>
  <w15:docId w15:val="{6287A839-F7C7-4705-9935-8D6F1EF5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76A6"/>
    <w:rPr>
      <w:color w:val="0000FF"/>
      <w:u w:val="single"/>
    </w:rPr>
  </w:style>
  <w:style w:type="paragraph" w:styleId="Header">
    <w:name w:val="header"/>
    <w:basedOn w:val="Normal"/>
    <w:link w:val="HeaderChar"/>
    <w:uiPriority w:val="99"/>
    <w:unhideWhenUsed/>
    <w:rsid w:val="00997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99"/>
  </w:style>
  <w:style w:type="paragraph" w:styleId="Footer">
    <w:name w:val="footer"/>
    <w:basedOn w:val="Normal"/>
    <w:link w:val="FooterChar"/>
    <w:uiPriority w:val="99"/>
    <w:unhideWhenUsed/>
    <w:rsid w:val="0099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99"/>
  </w:style>
  <w:style w:type="paragraph" w:styleId="BalloonText">
    <w:name w:val="Balloon Text"/>
    <w:basedOn w:val="Normal"/>
    <w:link w:val="BalloonTextChar"/>
    <w:uiPriority w:val="99"/>
    <w:semiHidden/>
    <w:unhideWhenUsed/>
    <w:rsid w:val="006F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33F"/>
    <w:rPr>
      <w:rFonts w:ascii="Segoe UI" w:hAnsi="Segoe UI" w:cs="Segoe UI"/>
      <w:sz w:val="18"/>
      <w:szCs w:val="18"/>
    </w:rPr>
  </w:style>
  <w:style w:type="character" w:styleId="CommentReference">
    <w:name w:val="annotation reference"/>
    <w:semiHidden/>
    <w:rsid w:val="006F433F"/>
    <w:rPr>
      <w:sz w:val="16"/>
      <w:szCs w:val="16"/>
    </w:rPr>
  </w:style>
  <w:style w:type="paragraph" w:styleId="CommentText">
    <w:name w:val="annotation text"/>
    <w:basedOn w:val="Normal"/>
    <w:link w:val="CommentTextChar"/>
    <w:semiHidden/>
    <w:rsid w:val="006F433F"/>
    <w:pPr>
      <w:spacing w:after="0" w:line="240" w:lineRule="auto"/>
    </w:pPr>
    <w:rPr>
      <w:rFonts w:ascii="Helvetica" w:eastAsia="Times New Roman" w:hAnsi="Helvetica" w:cs="Times New Roman"/>
      <w:color w:val="000000"/>
      <w:sz w:val="20"/>
      <w:szCs w:val="20"/>
    </w:rPr>
  </w:style>
  <w:style w:type="character" w:customStyle="1" w:styleId="CommentTextChar">
    <w:name w:val="Comment Text Char"/>
    <w:basedOn w:val="DefaultParagraphFont"/>
    <w:link w:val="CommentText"/>
    <w:semiHidden/>
    <w:rsid w:val="006F433F"/>
    <w:rPr>
      <w:rFonts w:ascii="Helvetica" w:eastAsia="Times New Roman" w:hAnsi="Helvetic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Williams,Lee (DFPS)</dc:creator>
  <cp:keywords/>
  <dc:description/>
  <cp:lastModifiedBy>Brown,Yael (HHSC)</cp:lastModifiedBy>
  <cp:revision>2</cp:revision>
  <dcterms:created xsi:type="dcterms:W3CDTF">2022-09-02T20:40:00Z</dcterms:created>
  <dcterms:modified xsi:type="dcterms:W3CDTF">2022-09-02T20:40:00Z</dcterms:modified>
</cp:coreProperties>
</file>